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0812" w:rsidRPr="006D409C" w:rsidRDefault="00570812" w:rsidP="0057081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CB2661">
        <w:rPr>
          <w:rFonts w:cs="Arial"/>
          <w:sz w:val="24"/>
          <w:szCs w:val="24"/>
          <w:lang w:eastAsia="zh-CN"/>
        </w:rPr>
        <w:t>2bis</w:t>
      </w:r>
      <w:r w:rsidRPr="006D409C">
        <w:rPr>
          <w:rFonts w:cs="Arial"/>
          <w:sz w:val="24"/>
          <w:szCs w:val="24"/>
          <w:lang w:eastAsia="zh-CN"/>
        </w:rPr>
        <w:tab/>
        <w:t>R4-24</w:t>
      </w:r>
      <w:r w:rsidR="00FA26AB">
        <w:rPr>
          <w:rFonts w:cs="Arial"/>
          <w:sz w:val="24"/>
          <w:szCs w:val="24"/>
          <w:lang w:eastAsia="zh-CN"/>
        </w:rPr>
        <w:t>15465</w:t>
      </w:r>
      <w:bookmarkStart w:id="2" w:name="_GoBack"/>
      <w:bookmarkEnd w:id="2"/>
      <w:r w:rsidRPr="006D409C">
        <w:rPr>
          <w:rFonts w:cs="Arial"/>
          <w:sz w:val="24"/>
          <w:szCs w:val="24"/>
          <w:lang w:eastAsia="zh-CN"/>
        </w:rPr>
        <w:tab/>
      </w:r>
    </w:p>
    <w:p w:rsidR="00AA2C36" w:rsidRPr="00376830" w:rsidRDefault="00CB2661" w:rsidP="00AA2C36">
      <w:pPr>
        <w:pStyle w:val="Header"/>
        <w:tabs>
          <w:tab w:val="right" w:pos="9781"/>
          <w:tab w:val="right" w:pos="13323"/>
        </w:tabs>
        <w:spacing w:before="60" w:after="60"/>
        <w:outlineLvl w:val="0"/>
        <w:rPr>
          <w:rFonts w:cs="Arial"/>
          <w:b w:val="0"/>
          <w:sz w:val="24"/>
          <w:szCs w:val="24"/>
          <w:lang w:eastAsia="zh-CN"/>
        </w:rPr>
      </w:pPr>
      <w:r w:rsidRPr="00CB2661">
        <w:rPr>
          <w:rFonts w:cs="Arial"/>
          <w:sz w:val="24"/>
          <w:szCs w:val="24"/>
          <w:lang w:eastAsia="zh-CN"/>
        </w:rPr>
        <w:t>Hefei, Anhui, China, 14th – 18th October, 2024</w:t>
      </w:r>
    </w:p>
    <w:p w:rsidR="00B97703" w:rsidRDefault="00B97703">
      <w:pPr>
        <w:rPr>
          <w:rFonts w:ascii="Arial" w:hAnsi="Arial" w:cs="Arial"/>
        </w:rPr>
      </w:pPr>
    </w:p>
    <w:p w:rsidR="00CB2661" w:rsidRPr="007232AE" w:rsidRDefault="00CB2661" w:rsidP="00CB2661">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Pr>
          <w:rFonts w:ascii="Arial" w:hAnsi="Arial" w:cs="Arial"/>
          <w:color w:val="000000"/>
          <w:sz w:val="22"/>
          <w:szCs w:val="22"/>
        </w:rPr>
        <w:t>6.1.1.1.1</w:t>
      </w:r>
    </w:p>
    <w:p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1831E5">
        <w:rPr>
          <w:rFonts w:ascii="Arial" w:hAnsi="Arial" w:cs="Arial"/>
          <w:b/>
          <w:sz w:val="22"/>
          <w:szCs w:val="22"/>
        </w:rPr>
        <w:t xml:space="preserve">Discussion on </w:t>
      </w:r>
      <w:r w:rsidR="00CB2661">
        <w:rPr>
          <w:rFonts w:ascii="Arial" w:hAnsi="Arial" w:cs="Arial"/>
          <w:b/>
          <w:sz w:val="22"/>
          <w:szCs w:val="22"/>
        </w:rPr>
        <w:t>the general aspects for HPUE CA</w:t>
      </w:r>
    </w:p>
    <w:p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rsidR="007232AE"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B525A6" w:rsidRDefault="00DC7852" w:rsidP="00E51624">
      <w:r>
        <w:t xml:space="preserve">It was agreed in the last meeting </w:t>
      </w:r>
      <w:r w:rsidR="00816941">
        <w:t xml:space="preserve">[1] </w:t>
      </w:r>
      <w:r w:rsidR="0000127B">
        <w:t xml:space="preserve">that the general aspects of HPUE CA would be discussed, including: MSD rules and duty cycle solution for SAR compliance. Our views are shared in the sequel, </w:t>
      </w:r>
      <w:r w:rsidR="00B4707F">
        <w:t>which</w:t>
      </w:r>
      <w:r w:rsidR="0000127B">
        <w:t xml:space="preserve"> are aligned with the proposals we raised in previous meetings</w:t>
      </w:r>
      <w:r w:rsidR="00203916">
        <w:t xml:space="preserve"> [2][3]</w:t>
      </w:r>
      <w:r w:rsidR="00B525A6">
        <w:t>.</w:t>
      </w:r>
    </w:p>
    <w:p w:rsidR="007232AE" w:rsidRDefault="007232AE" w:rsidP="007232AE">
      <w:pPr>
        <w:pStyle w:val="Heading1"/>
        <w:tabs>
          <w:tab w:val="num" w:pos="432"/>
        </w:tabs>
        <w:ind w:left="0" w:firstLine="0"/>
        <w:rPr>
          <w:rStyle w:val="Heading1Char1"/>
          <w:rFonts w:eastAsia="SimSun"/>
        </w:rPr>
      </w:pPr>
      <w:r>
        <w:rPr>
          <w:rStyle w:val="Heading1Char1"/>
          <w:rFonts w:eastAsia="SimSun"/>
        </w:rPr>
        <w:t>2</w:t>
      </w:r>
      <w:r w:rsidRPr="00C14CE5">
        <w:rPr>
          <w:rStyle w:val="Heading1Char1"/>
          <w:rFonts w:eastAsia="SimSun"/>
        </w:rPr>
        <w:tab/>
      </w:r>
      <w:r>
        <w:rPr>
          <w:rStyle w:val="Heading1Char1"/>
          <w:rFonts w:eastAsia="SimSun"/>
        </w:rPr>
        <w:t>Discussion</w:t>
      </w:r>
    </w:p>
    <w:p w:rsidR="00EF002D" w:rsidRDefault="00EF002D" w:rsidP="00EF002D">
      <w:pPr>
        <w:pStyle w:val="Heading4"/>
      </w:pPr>
      <w:r>
        <w:t xml:space="preserve">2.1 </w:t>
      </w:r>
      <w:r w:rsidRPr="00652D7C">
        <w:t>SAR solution for intra-band CA with PC1.5</w:t>
      </w:r>
    </w:p>
    <w:p w:rsidR="00EF002D" w:rsidRPr="008B6B4F" w:rsidRDefault="00EF002D" w:rsidP="00EF002D">
      <w:pPr>
        <w:rPr>
          <w:bCs/>
        </w:rPr>
      </w:pPr>
      <w:r w:rsidRPr="008B6B4F">
        <w:rPr>
          <w:bCs/>
        </w:rPr>
        <w:t>In Rel-18,</w:t>
      </w:r>
      <w:r>
        <w:rPr>
          <w:bCs/>
        </w:rPr>
        <w:t xml:space="preserve"> duty-cycle based</w:t>
      </w:r>
      <w:r w:rsidRPr="008B6B4F">
        <w:rPr>
          <w:bCs/>
        </w:rPr>
        <w:t xml:space="preserve"> SAR solution was discussed </w:t>
      </w:r>
      <w:r>
        <w:rPr>
          <w:bCs/>
        </w:rPr>
        <w:t xml:space="preserve">in </w:t>
      </w:r>
      <w:r w:rsidRPr="008B6B4F">
        <w:rPr>
          <w:bCs/>
        </w:rPr>
        <w:t>4Rx_low_NR_band_handheld_3Tx_NR_CA_ENDC</w:t>
      </w:r>
      <w:r>
        <w:rPr>
          <w:bCs/>
        </w:rPr>
        <w:t xml:space="preserve"> with 3Tx PC2/PC1.5. Considering the SAR solution in Rel-19 should be applied to specific band combinations to be requested by operators, referring to Rel-18 3Tx, duty-cycle based solution should be considered. Besides, </w:t>
      </w:r>
      <w:r w:rsidRPr="00B01433">
        <w:rPr>
          <w:bCs/>
        </w:rPr>
        <w:t xml:space="preserve">UE implemented P-MPR </w:t>
      </w:r>
      <w:r>
        <w:rPr>
          <w:bCs/>
        </w:rPr>
        <w:t>can be</w:t>
      </w:r>
      <w:r w:rsidRPr="00B01433">
        <w:rPr>
          <w:bCs/>
        </w:rPr>
        <w:t xml:space="preserve"> considered as baseline SAR solution</w:t>
      </w:r>
      <w:r>
        <w:rPr>
          <w:bCs/>
        </w:rPr>
        <w:t xml:space="preserve">. </w:t>
      </w:r>
    </w:p>
    <w:p w:rsidR="00EF002D" w:rsidRDefault="00EF002D" w:rsidP="00EF002D">
      <w:pPr>
        <w:rPr>
          <w:b/>
          <w:bCs/>
        </w:rPr>
      </w:pPr>
      <w:r w:rsidRPr="004C0D3C">
        <w:rPr>
          <w:b/>
          <w:bCs/>
        </w:rPr>
        <w:t xml:space="preserve">Proposal </w:t>
      </w:r>
      <w:r w:rsidR="004511E8">
        <w:rPr>
          <w:b/>
          <w:bCs/>
        </w:rPr>
        <w:t>1</w:t>
      </w:r>
      <w:r>
        <w:rPr>
          <w:b/>
          <w:bCs/>
        </w:rPr>
        <w:t>: UE implemented P-MPR is considered as baseline SAR solution</w:t>
      </w:r>
      <w:r w:rsidR="000E7531">
        <w:rPr>
          <w:b/>
          <w:bCs/>
        </w:rPr>
        <w:t>.</w:t>
      </w:r>
      <w:r>
        <w:rPr>
          <w:b/>
          <w:bCs/>
        </w:rPr>
        <w:t xml:space="preserve"> </w:t>
      </w:r>
      <w:r w:rsidR="000E7531">
        <w:rPr>
          <w:b/>
          <w:bCs/>
        </w:rPr>
        <w:t xml:space="preserve">The </w:t>
      </w:r>
      <w:r>
        <w:rPr>
          <w:b/>
          <w:bCs/>
        </w:rPr>
        <w:t xml:space="preserve">duty-cycle based SAR solution </w:t>
      </w:r>
      <w:r w:rsidR="000E7531">
        <w:rPr>
          <w:b/>
          <w:bCs/>
        </w:rPr>
        <w:t>can be optionally supported.</w:t>
      </w:r>
    </w:p>
    <w:p w:rsidR="00EF002D" w:rsidRDefault="00EF002D" w:rsidP="00EF002D">
      <w:pPr>
        <w:snapToGrid w:val="0"/>
        <w:spacing w:after="120"/>
      </w:pPr>
      <w:r>
        <w:t>For intra-band CA/EN-DC, we listed the scenarios for high power UE that have been supported in the previous release and included in Rel-19 scope.</w:t>
      </w:r>
    </w:p>
    <w:p w:rsidR="00EF002D" w:rsidRPr="00694741" w:rsidRDefault="00EF002D" w:rsidP="00EF002D">
      <w:pPr>
        <w:pStyle w:val="Caption"/>
        <w:keepNext/>
        <w:snapToGrid w:val="0"/>
        <w:spacing w:after="60"/>
        <w:jc w:val="center"/>
        <w:rPr>
          <w:sz w:val="18"/>
          <w:szCs w:val="18"/>
        </w:rPr>
      </w:pPr>
      <w:r w:rsidRPr="00694741">
        <w:rPr>
          <w:sz w:val="18"/>
          <w:szCs w:val="18"/>
        </w:rPr>
        <w:t xml:space="preserve">Table </w:t>
      </w:r>
      <w:r w:rsidRPr="00694741">
        <w:rPr>
          <w:sz w:val="18"/>
          <w:szCs w:val="18"/>
        </w:rPr>
        <w:fldChar w:fldCharType="begin"/>
      </w:r>
      <w:r w:rsidRPr="00694741">
        <w:rPr>
          <w:sz w:val="18"/>
          <w:szCs w:val="18"/>
        </w:rPr>
        <w:instrText xml:space="preserve"> SEQ Table \* ARABIC </w:instrText>
      </w:r>
      <w:r w:rsidRPr="00694741">
        <w:rPr>
          <w:sz w:val="18"/>
          <w:szCs w:val="18"/>
        </w:rPr>
        <w:fldChar w:fldCharType="separate"/>
      </w:r>
      <w:r w:rsidRPr="00694741">
        <w:rPr>
          <w:noProof/>
          <w:sz w:val="18"/>
          <w:szCs w:val="18"/>
        </w:rPr>
        <w:t>1</w:t>
      </w:r>
      <w:r w:rsidRPr="00694741">
        <w:rPr>
          <w:sz w:val="18"/>
          <w:szCs w:val="18"/>
        </w:rPr>
        <w:fldChar w:fldCharType="end"/>
      </w:r>
      <w:r w:rsidRPr="00694741">
        <w:rPr>
          <w:sz w:val="18"/>
          <w:szCs w:val="18"/>
        </w:rPr>
        <w:t xml:space="preserve"> Scenarios for intra-band EN-DC/CA high power UE that have been supported in the previous release and included in Rel-19 scope </w:t>
      </w:r>
    </w:p>
    <w:tbl>
      <w:tblPr>
        <w:tblStyle w:val="TableGrid"/>
        <w:tblW w:w="5000" w:type="pct"/>
        <w:jc w:val="center"/>
        <w:tblLook w:val="04A0" w:firstRow="1" w:lastRow="0" w:firstColumn="1" w:lastColumn="0" w:noHBand="0" w:noVBand="1"/>
      </w:tblPr>
      <w:tblGrid>
        <w:gridCol w:w="1204"/>
        <w:gridCol w:w="1618"/>
        <w:gridCol w:w="1349"/>
        <w:gridCol w:w="1483"/>
        <w:gridCol w:w="2698"/>
        <w:gridCol w:w="1493"/>
      </w:tblGrid>
      <w:tr w:rsidR="00EF002D" w:rsidRPr="00F10EB5" w:rsidTr="007879BA">
        <w:trPr>
          <w:jc w:val="center"/>
        </w:trPr>
        <w:tc>
          <w:tcPr>
            <w:tcW w:w="1433" w:type="pct"/>
            <w:gridSpan w:val="2"/>
            <w:vMerge w:val="restart"/>
            <w:tcBorders>
              <w:top w:val="single" w:sz="8" w:space="0" w:color="auto"/>
              <w:left w:val="single" w:sz="8" w:space="0" w:color="auto"/>
              <w:right w:val="single" w:sz="8" w:space="0" w:color="auto"/>
            </w:tcBorders>
          </w:tcPr>
          <w:p w:rsidR="00EF002D" w:rsidRPr="00F10EB5" w:rsidRDefault="00EF002D" w:rsidP="007879BA">
            <w:pPr>
              <w:keepNext/>
              <w:keepLines/>
              <w:snapToGrid w:val="0"/>
              <w:spacing w:after="0"/>
              <w:rPr>
                <w:rFonts w:ascii="Arial" w:hAnsi="Arial" w:cs="Arial"/>
                <w:b/>
                <w:sz w:val="18"/>
                <w:szCs w:val="18"/>
              </w:rPr>
            </w:pPr>
          </w:p>
        </w:tc>
        <w:tc>
          <w:tcPr>
            <w:tcW w:w="1438" w:type="pct"/>
            <w:gridSpan w:val="2"/>
            <w:tcBorders>
              <w:top w:val="single" w:sz="8" w:space="0" w:color="auto"/>
              <w:left w:val="single" w:sz="8" w:space="0" w:color="auto"/>
              <w:right w:val="single" w:sz="8" w:space="0" w:color="auto"/>
            </w:tcBorders>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PC2</w:t>
            </w:r>
          </w:p>
        </w:tc>
        <w:tc>
          <w:tcPr>
            <w:tcW w:w="2128" w:type="pct"/>
            <w:gridSpan w:val="2"/>
            <w:tcBorders>
              <w:top w:val="single" w:sz="8" w:space="0" w:color="auto"/>
              <w:left w:val="single" w:sz="8" w:space="0" w:color="auto"/>
              <w:right w:val="single" w:sz="8" w:space="0" w:color="auto"/>
            </w:tcBorders>
            <w:shd w:val="clear" w:color="auto" w:fill="auto"/>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PC1.5</w:t>
            </w:r>
          </w:p>
        </w:tc>
      </w:tr>
      <w:tr w:rsidR="00EF002D" w:rsidRPr="00F10EB5" w:rsidTr="007879BA">
        <w:trPr>
          <w:jc w:val="center"/>
        </w:trPr>
        <w:tc>
          <w:tcPr>
            <w:tcW w:w="1433" w:type="pct"/>
            <w:gridSpan w:val="2"/>
            <w:vMerge/>
            <w:tcBorders>
              <w:left w:val="single" w:sz="8" w:space="0" w:color="auto"/>
              <w:bottom w:val="single" w:sz="8" w:space="0" w:color="auto"/>
              <w:right w:val="single" w:sz="8" w:space="0" w:color="auto"/>
            </w:tcBorders>
          </w:tcPr>
          <w:p w:rsidR="00EF002D" w:rsidRPr="00F10EB5" w:rsidRDefault="00EF002D" w:rsidP="007879BA">
            <w:pPr>
              <w:keepNext/>
              <w:keepLines/>
              <w:snapToGrid w:val="0"/>
              <w:spacing w:after="0"/>
              <w:rPr>
                <w:rFonts w:ascii="Arial" w:hAnsi="Arial" w:cs="Arial"/>
                <w:b/>
                <w:sz w:val="18"/>
                <w:szCs w:val="18"/>
              </w:rPr>
            </w:pPr>
          </w:p>
        </w:tc>
        <w:tc>
          <w:tcPr>
            <w:tcW w:w="685" w:type="pct"/>
            <w:tcBorders>
              <w:left w:val="single" w:sz="8" w:space="0" w:color="auto"/>
              <w:bottom w:val="single" w:sz="8" w:space="0" w:color="auto"/>
            </w:tcBorders>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TDD</w:t>
            </w:r>
          </w:p>
        </w:tc>
        <w:tc>
          <w:tcPr>
            <w:tcW w:w="753" w:type="pct"/>
            <w:tcBorders>
              <w:bottom w:val="single" w:sz="8" w:space="0" w:color="auto"/>
              <w:right w:val="single" w:sz="8" w:space="0" w:color="auto"/>
            </w:tcBorders>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FDD</w:t>
            </w:r>
          </w:p>
        </w:tc>
        <w:tc>
          <w:tcPr>
            <w:tcW w:w="1370" w:type="pct"/>
            <w:tcBorders>
              <w:left w:val="single" w:sz="8" w:space="0" w:color="auto"/>
              <w:bottom w:val="single" w:sz="8" w:space="0" w:color="auto"/>
            </w:tcBorders>
            <w:shd w:val="clear" w:color="auto" w:fill="auto"/>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TDD</w:t>
            </w:r>
          </w:p>
        </w:tc>
        <w:tc>
          <w:tcPr>
            <w:tcW w:w="759" w:type="pct"/>
            <w:tcBorders>
              <w:bottom w:val="single" w:sz="8" w:space="0" w:color="auto"/>
              <w:right w:val="single" w:sz="8" w:space="0" w:color="auto"/>
            </w:tcBorders>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FDD</w:t>
            </w:r>
          </w:p>
        </w:tc>
      </w:tr>
      <w:tr w:rsidR="00EF002D" w:rsidRPr="00F10EB5" w:rsidTr="007879BA">
        <w:trPr>
          <w:trHeight w:val="283"/>
          <w:jc w:val="center"/>
        </w:trPr>
        <w:tc>
          <w:tcPr>
            <w:tcW w:w="612" w:type="pct"/>
            <w:vMerge w:val="restart"/>
            <w:tcBorders>
              <w:top w:val="single" w:sz="8" w:space="0" w:color="auto"/>
              <w:lef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Intra-band EN-DC</w:t>
            </w:r>
          </w:p>
        </w:tc>
        <w:tc>
          <w:tcPr>
            <w:tcW w:w="822" w:type="pct"/>
            <w:tcBorders>
              <w:top w:val="single" w:sz="8" w:space="0" w:color="auto"/>
              <w:righ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contiguous</w:t>
            </w:r>
          </w:p>
        </w:tc>
        <w:tc>
          <w:tcPr>
            <w:tcW w:w="685" w:type="pct"/>
            <w:tcBorders>
              <w:top w:val="single" w:sz="8" w:space="0" w:color="auto"/>
              <w:left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3" w:type="pct"/>
            <w:tcBorders>
              <w:top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top w:val="single" w:sz="8" w:space="0" w:color="auto"/>
              <w:left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9" w:type="pct"/>
            <w:tcBorders>
              <w:top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EF002D" w:rsidRPr="00F10EB5" w:rsidTr="007879BA">
        <w:trPr>
          <w:trHeight w:val="283"/>
          <w:jc w:val="center"/>
        </w:trPr>
        <w:tc>
          <w:tcPr>
            <w:tcW w:w="612" w:type="pct"/>
            <w:vMerge/>
            <w:tcBorders>
              <w:left w:val="single" w:sz="8" w:space="0" w:color="auto"/>
              <w:bottom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p>
        </w:tc>
        <w:tc>
          <w:tcPr>
            <w:tcW w:w="822" w:type="pct"/>
            <w:tcBorders>
              <w:bottom w:val="single" w:sz="8" w:space="0" w:color="auto"/>
              <w:righ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non-contiguous</w:t>
            </w:r>
          </w:p>
        </w:tc>
        <w:tc>
          <w:tcPr>
            <w:tcW w:w="685" w:type="pct"/>
            <w:tcBorders>
              <w:left w:val="single" w:sz="8" w:space="0" w:color="auto"/>
              <w:bottom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3" w:type="pct"/>
            <w:tcBorders>
              <w:bottom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c>
          <w:tcPr>
            <w:tcW w:w="1370" w:type="pct"/>
            <w:tcBorders>
              <w:left w:val="single" w:sz="8" w:space="0" w:color="auto"/>
              <w:bottom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9" w:type="pct"/>
            <w:tcBorders>
              <w:bottom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EF002D" w:rsidRPr="00F10EB5" w:rsidTr="007879BA">
        <w:trPr>
          <w:trHeight w:val="454"/>
          <w:jc w:val="center"/>
        </w:trPr>
        <w:tc>
          <w:tcPr>
            <w:tcW w:w="612" w:type="pct"/>
            <w:vMerge w:val="restart"/>
            <w:tcBorders>
              <w:top w:val="single" w:sz="8" w:space="0" w:color="auto"/>
              <w:lef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Intra-band CA</w:t>
            </w:r>
          </w:p>
          <w:p w:rsidR="00EF002D" w:rsidRPr="00F10EB5" w:rsidRDefault="00EF002D" w:rsidP="007879BA">
            <w:pPr>
              <w:keepNext/>
              <w:keepLines/>
              <w:snapToGrid w:val="0"/>
              <w:spacing w:after="0"/>
              <w:jc w:val="center"/>
              <w:rPr>
                <w:rFonts w:ascii="Arial" w:hAnsi="Arial" w:cs="Arial"/>
                <w:b/>
                <w:sz w:val="18"/>
                <w:szCs w:val="18"/>
              </w:rPr>
            </w:pPr>
          </w:p>
        </w:tc>
        <w:tc>
          <w:tcPr>
            <w:tcW w:w="822" w:type="pct"/>
            <w:tcBorders>
              <w:top w:val="single" w:sz="8" w:space="0" w:color="auto"/>
              <w:righ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contiguous</w:t>
            </w:r>
          </w:p>
        </w:tc>
        <w:tc>
          <w:tcPr>
            <w:tcW w:w="685" w:type="pct"/>
            <w:tcBorders>
              <w:top w:val="single" w:sz="8" w:space="0" w:color="auto"/>
              <w:left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3" w:type="pct"/>
            <w:tcBorders>
              <w:top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top w:val="single" w:sz="8" w:space="0" w:color="auto"/>
              <w:left w:val="single" w:sz="8" w:space="0" w:color="auto"/>
            </w:tcBorders>
            <w:shd w:val="clear" w:color="auto" w:fill="FFC000"/>
            <w:vAlign w:val="center"/>
          </w:tcPr>
          <w:p w:rsidR="00EF002D" w:rsidRPr="00F10EB5" w:rsidRDefault="00EF002D" w:rsidP="007879BA">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Included in current Rel-19 scope</w:t>
            </w:r>
          </w:p>
          <w:p w:rsidR="00EF002D" w:rsidRPr="00F10EB5" w:rsidRDefault="00EF002D" w:rsidP="007879BA">
            <w:pPr>
              <w:keepNext/>
              <w:keepLines/>
              <w:snapToGrid w:val="0"/>
              <w:spacing w:after="0"/>
              <w:jc w:val="center"/>
              <w:rPr>
                <w:rFonts w:ascii="Arial" w:hAnsi="Arial" w:cs="Arial"/>
                <w:sz w:val="18"/>
                <w:szCs w:val="18"/>
              </w:rPr>
            </w:pPr>
            <w:r w:rsidRPr="00F10EB5">
              <w:rPr>
                <w:rFonts w:ascii="Arial" w:hAnsi="Arial" w:cs="Arial"/>
                <w:color w:val="0D0D0D" w:themeColor="text1" w:themeTint="F2"/>
                <w:sz w:val="18"/>
                <w:szCs w:val="18"/>
                <w:lang w:eastAsia="zh-CN"/>
              </w:rPr>
              <w:t>w. or w/o UL MIMO</w:t>
            </w:r>
          </w:p>
        </w:tc>
        <w:tc>
          <w:tcPr>
            <w:tcW w:w="759" w:type="pct"/>
            <w:tcBorders>
              <w:top w:val="single" w:sz="8" w:space="0" w:color="auto"/>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EF002D" w:rsidRPr="00F10EB5" w:rsidTr="007879BA">
        <w:trPr>
          <w:trHeight w:val="454"/>
          <w:jc w:val="center"/>
        </w:trPr>
        <w:tc>
          <w:tcPr>
            <w:tcW w:w="612" w:type="pct"/>
            <w:vMerge/>
            <w:tcBorders>
              <w:lef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p>
        </w:tc>
        <w:tc>
          <w:tcPr>
            <w:tcW w:w="822" w:type="pct"/>
            <w:tcBorders>
              <w:right w:val="single" w:sz="8" w:space="0" w:color="auto"/>
            </w:tcBorders>
            <w:vAlign w:val="center"/>
          </w:tcPr>
          <w:p w:rsidR="00EF002D" w:rsidRPr="00F10EB5" w:rsidRDefault="00EF002D" w:rsidP="007879BA">
            <w:pPr>
              <w:keepNext/>
              <w:keepLines/>
              <w:snapToGrid w:val="0"/>
              <w:spacing w:after="0"/>
              <w:jc w:val="center"/>
              <w:rPr>
                <w:rFonts w:ascii="Arial" w:hAnsi="Arial" w:cs="Arial"/>
                <w:b/>
                <w:sz w:val="18"/>
                <w:szCs w:val="18"/>
              </w:rPr>
            </w:pPr>
            <w:r w:rsidRPr="00F10EB5">
              <w:rPr>
                <w:rFonts w:ascii="Arial" w:hAnsi="Arial" w:cs="Arial"/>
                <w:b/>
                <w:sz w:val="18"/>
                <w:szCs w:val="18"/>
              </w:rPr>
              <w:t>non-contiguous</w:t>
            </w:r>
          </w:p>
        </w:tc>
        <w:tc>
          <w:tcPr>
            <w:tcW w:w="685" w:type="pct"/>
            <w:tcBorders>
              <w:left w:val="single" w:sz="8" w:space="0" w:color="auto"/>
            </w:tcBorders>
            <w:shd w:val="clear" w:color="auto" w:fill="92D050"/>
            <w:vAlign w:val="center"/>
          </w:tcPr>
          <w:p w:rsidR="00EF002D" w:rsidRPr="00F10EB5" w:rsidRDefault="00EF002D" w:rsidP="006F7705">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tc>
        <w:tc>
          <w:tcPr>
            <w:tcW w:w="753" w:type="pct"/>
            <w:tcBorders>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left w:val="single" w:sz="8" w:space="0" w:color="auto"/>
            </w:tcBorders>
            <w:shd w:val="clear" w:color="auto" w:fill="FFC000"/>
            <w:vAlign w:val="center"/>
          </w:tcPr>
          <w:p w:rsidR="00EF002D" w:rsidRPr="00F10EB5" w:rsidRDefault="00EF002D" w:rsidP="007879BA">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Included in current Rel-19 scope</w:t>
            </w:r>
          </w:p>
          <w:p w:rsidR="00EF002D" w:rsidRPr="00F10EB5" w:rsidRDefault="00EF002D" w:rsidP="007879BA">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w/o UL MIMO</w:t>
            </w:r>
          </w:p>
        </w:tc>
        <w:tc>
          <w:tcPr>
            <w:tcW w:w="759" w:type="pct"/>
            <w:tcBorders>
              <w:right w:val="single" w:sz="8" w:space="0" w:color="auto"/>
            </w:tcBorders>
            <w:shd w:val="clear" w:color="auto" w:fill="auto"/>
            <w:vAlign w:val="center"/>
          </w:tcPr>
          <w:p w:rsidR="00EF002D" w:rsidRPr="00F10EB5" w:rsidRDefault="00EF002D" w:rsidP="007879BA">
            <w:pPr>
              <w:keepNext/>
              <w:keepLines/>
              <w:snapToGrid w:val="0"/>
              <w:spacing w:after="0"/>
              <w:jc w:val="center"/>
              <w:rPr>
                <w:rFonts w:ascii="Arial" w:hAnsi="Arial" w:cs="Arial"/>
                <w:color w:val="C00000"/>
                <w:sz w:val="18"/>
                <w:szCs w:val="18"/>
              </w:rPr>
            </w:pPr>
            <w:r w:rsidRPr="00F10EB5">
              <w:rPr>
                <w:rFonts w:ascii="Arial" w:hAnsi="Arial" w:cs="Arial"/>
                <w:sz w:val="18"/>
                <w:szCs w:val="18"/>
                <w:lang w:eastAsia="zh-CN"/>
              </w:rPr>
              <w:t>Not Support</w:t>
            </w:r>
          </w:p>
        </w:tc>
      </w:tr>
    </w:tbl>
    <w:p w:rsidR="00EF002D" w:rsidRDefault="00EF002D" w:rsidP="00EF002D">
      <w:pPr>
        <w:snapToGrid w:val="0"/>
        <w:spacing w:after="120"/>
      </w:pPr>
    </w:p>
    <w:p w:rsidR="00EF002D" w:rsidRDefault="00EF002D" w:rsidP="00EF002D">
      <w:pPr>
        <w:snapToGrid w:val="0"/>
        <w:spacing w:after="120"/>
      </w:pPr>
      <w:r>
        <w:t>It is shown in the table above, the intra-band EN-DC with PC1.5 and intra-band CA with PC2 are both supported in the previous releases. And the SAR solutions for intra-band CA with PC1.5 can refer to those designed for the former two if no critical issue are identified.</w:t>
      </w:r>
    </w:p>
    <w:p w:rsidR="00EF002D" w:rsidRDefault="00EF002D" w:rsidP="00EF002D">
      <w:pPr>
        <w:snapToGrid w:val="0"/>
        <w:spacing w:after="120"/>
      </w:pPr>
      <w:r>
        <w:t>The duty-cycle based SAR solution for intra-band contiguous and non-contiguous CA with PC1.5 can be defined as follows in sub-clause 6.2A.1.1 and 6.2A.1.2.</w:t>
      </w:r>
    </w:p>
    <w:tbl>
      <w:tblPr>
        <w:tblStyle w:val="TableGrid"/>
        <w:tblW w:w="0" w:type="auto"/>
        <w:tblLook w:val="04A0" w:firstRow="1" w:lastRow="0" w:firstColumn="1" w:lastColumn="0" w:noHBand="0" w:noVBand="1"/>
      </w:tblPr>
      <w:tblGrid>
        <w:gridCol w:w="9855"/>
      </w:tblGrid>
      <w:tr w:rsidR="00EF002D" w:rsidTr="007879BA">
        <w:tc>
          <w:tcPr>
            <w:tcW w:w="10552" w:type="dxa"/>
          </w:tcPr>
          <w:p w:rsidR="00EF002D" w:rsidRPr="00A1115A" w:rsidRDefault="00EF002D" w:rsidP="007879BA">
            <w:r w:rsidRPr="00A1115A">
              <w:t xml:space="preserve">If a UE supports a different power class than the default UE power class for </w:t>
            </w:r>
            <w:r>
              <w:t>the band</w:t>
            </w:r>
            <w:r w:rsidRPr="00F96C6E">
              <w:rPr>
                <w:rFonts w:hint="eastAsia"/>
              </w:rPr>
              <w:t xml:space="preserve"> combination</w:t>
            </w:r>
            <w:r>
              <w:rPr>
                <w:rFonts w:hint="eastAsia"/>
              </w:rPr>
              <w:t xml:space="preserve"> listed in </w:t>
            </w:r>
            <w:r w:rsidRPr="00A1115A">
              <w:t>Table 6.2A.1.</w:t>
            </w:r>
            <w:r>
              <w:t>1</w:t>
            </w:r>
            <w:r w:rsidRPr="00A1115A">
              <w:t>-</w:t>
            </w:r>
            <w:r>
              <w:t>1/2</w:t>
            </w:r>
            <w:r w:rsidRPr="00A1115A">
              <w:t xml:space="preserve"> and the supported power class enables the higher maximum output power than that of the default power class:</w:t>
            </w:r>
          </w:p>
          <w:p w:rsidR="00EF002D" w:rsidRPr="00A1115A" w:rsidRDefault="00EF002D" w:rsidP="007879BA">
            <w:pPr>
              <w:pStyle w:val="B1"/>
            </w:pPr>
            <w:r w:rsidRPr="00A1115A">
              <w:t>-</w:t>
            </w:r>
            <w:r w:rsidRPr="00A1115A">
              <w:tab/>
              <w:t xml:space="preserve">if the field of UE capability </w:t>
            </w:r>
            <w:r w:rsidRPr="00A1115A">
              <w:rPr>
                <w:i/>
              </w:rPr>
              <w:t>maxUplinkDutyCycle-PC2-FR1</w:t>
            </w:r>
            <w:r w:rsidRPr="00A1115A">
              <w:t xml:space="preserve"> is absent</w:t>
            </w:r>
            <w:r>
              <w:t xml:space="preserve"> </w:t>
            </w:r>
            <w:r w:rsidRPr="00185648">
              <w:rPr>
                <w:color w:val="C00000"/>
              </w:rPr>
              <w:t xml:space="preserve">and the field of UE capability </w:t>
            </w:r>
            <w:r w:rsidRPr="00185648">
              <w:rPr>
                <w:i/>
                <w:color w:val="C00000"/>
              </w:rPr>
              <w:t>maxUplinkDutyCycle-PC1dot5-MPE-FR1</w:t>
            </w:r>
            <w:r w:rsidRPr="00185648">
              <w:rPr>
                <w:color w:val="C00000"/>
              </w:rPr>
              <w:t xml:space="preserve"> is absent</w:t>
            </w:r>
            <w:r w:rsidRPr="00185648">
              <w:t xml:space="preserve"> </w:t>
            </w:r>
            <w:r w:rsidRPr="00A1115A">
              <w:t xml:space="preserve">and </w:t>
            </w:r>
            <w:r w:rsidRPr="00DE02D6">
              <w:rPr>
                <w:lang w:eastAsia="zh-CN"/>
              </w:rPr>
              <w:t xml:space="preserve">the percentage of total uplink symbols transmitted on all </w:t>
            </w:r>
            <w:r w:rsidRPr="00DE02D6">
              <w:rPr>
                <w:lang w:eastAsia="zh-CN"/>
              </w:rPr>
              <w:lastRenderedPageBreak/>
              <w:t>UL CCs in a certain evaluation period</w:t>
            </w:r>
            <w:r w:rsidRPr="00A1115A">
              <w:t xml:space="preserve"> is larger than 50% (The exact evaluation period is no less than one radio frame); or</w:t>
            </w:r>
          </w:p>
          <w:p w:rsidR="00EF002D" w:rsidRDefault="00EF002D" w:rsidP="007879BA">
            <w:pPr>
              <w:pStyle w:val="B1"/>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rsidR="00EF002D" w:rsidRDefault="00EF002D" w:rsidP="007879BA">
            <w:pPr>
              <w:pStyle w:val="B1"/>
            </w:pPr>
            <w:r w:rsidRPr="00185648">
              <w:rPr>
                <w:color w:val="C00000"/>
              </w:rPr>
              <w:t>-</w:t>
            </w:r>
            <w:r w:rsidRPr="00185648">
              <w:rPr>
                <w:color w:val="C00000"/>
              </w:rPr>
              <w:tab/>
              <w:t xml:space="preserve">if the field of UE capability </w:t>
            </w:r>
            <w:r w:rsidRPr="00185648">
              <w:rPr>
                <w:i/>
                <w:color w:val="C00000"/>
              </w:rPr>
              <w:t>maxUplinkDutyCycle-PC1dot5-MPE-FR1</w:t>
            </w:r>
            <w:r w:rsidRPr="00185648">
              <w:rPr>
                <w:color w:val="C00000"/>
              </w:rPr>
              <w:t xml:space="preserve"> is not absent and </w:t>
            </w:r>
            <w:r>
              <w:rPr>
                <w:color w:val="C00000"/>
              </w:rPr>
              <w:t xml:space="preserve">half </w:t>
            </w:r>
            <w:r w:rsidRPr="00185648">
              <w:rPr>
                <w:color w:val="C00000"/>
                <w:lang w:eastAsia="zh-CN"/>
              </w:rPr>
              <w:t>the percentage of total uplink symbols transmitted on all UL CCs in a certain evaluation period</w:t>
            </w:r>
            <w:r w:rsidRPr="00185648">
              <w:rPr>
                <w:color w:val="C00000"/>
              </w:rPr>
              <w:t xml:space="preserve"> is larger than </w:t>
            </w:r>
            <w:r w:rsidRPr="00185648">
              <w:rPr>
                <w:i/>
                <w:color w:val="C00000"/>
              </w:rPr>
              <w:t>maxUplinkDutyCycle-PC1dot5-MPE-FR1</w:t>
            </w:r>
            <w:r w:rsidRPr="00185648">
              <w:rPr>
                <w:color w:val="C00000"/>
              </w:rPr>
              <w:t xml:space="preserve"> as defined in TS 38.306 (The exact evaluation period is no less than one radio frame); or</w:t>
            </w:r>
          </w:p>
          <w:p w:rsidR="00EF002D" w:rsidRDefault="00EF002D" w:rsidP="007879BA">
            <w:pPr>
              <w:pStyle w:val="B1"/>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6.2A.4.1.1/2 is 23dBm</w:t>
            </w:r>
            <w:r w:rsidRPr="00A1115A">
              <w:rPr>
                <w:lang w:eastAsia="zh-CN"/>
              </w:rPr>
              <w:t xml:space="preserve"> or lower</w:t>
            </w:r>
            <w:r w:rsidRPr="00A1115A">
              <w:t>;</w:t>
            </w:r>
          </w:p>
          <w:p w:rsidR="00EF002D" w:rsidRDefault="00EF002D" w:rsidP="007879BA">
            <w:pPr>
              <w:pStyle w:val="B2"/>
            </w:pPr>
            <w:r w:rsidRPr="00A1115A">
              <w:t>-</w:t>
            </w:r>
            <w:r w:rsidRPr="00A1115A">
              <w:tab/>
              <w:t xml:space="preserve">shall apply all requirements for the default power class to the supported power class and set the configured transmitted power as specified in clause </w:t>
            </w:r>
            <w:r>
              <w:t>6.2A.4.1.1/2</w:t>
            </w:r>
            <w:r w:rsidRPr="00A1115A">
              <w:t>;</w:t>
            </w:r>
          </w:p>
          <w:p w:rsidR="00EF002D" w:rsidRPr="00626AEB" w:rsidRDefault="00EF002D" w:rsidP="007879BA">
            <w:pPr>
              <w:pStyle w:val="B1"/>
              <w:rPr>
                <w:color w:val="C00000"/>
              </w:rPr>
            </w:pPr>
            <w:r w:rsidRPr="00626AEB">
              <w:rPr>
                <w:color w:val="C00000"/>
              </w:rPr>
              <w:t>-</w:t>
            </w:r>
            <w:r w:rsidRPr="00626AEB">
              <w:rPr>
                <w:color w:val="C00000"/>
              </w:rPr>
              <w:tab/>
              <w:t xml:space="preserve">else if the field of UE capability </w:t>
            </w:r>
            <w:r w:rsidRPr="00626AEB">
              <w:rPr>
                <w:i/>
                <w:color w:val="C00000"/>
              </w:rPr>
              <w:t>maxUplinkDutyCycle-PC2-FR1</w:t>
            </w:r>
            <w:r w:rsidRPr="00626AEB">
              <w:rPr>
                <w:color w:val="C00000"/>
              </w:rPr>
              <w:t xml:space="preserve"> is absent and </w:t>
            </w:r>
            <w:r w:rsidRPr="00626AEB">
              <w:rPr>
                <w:color w:val="C00000"/>
                <w:lang w:eastAsia="zh-CN"/>
              </w:rPr>
              <w:t>the percentage of total uplink symbols transmitted on all UL CCs in a certain evaluation period</w:t>
            </w:r>
            <w:r w:rsidRPr="00626AEB">
              <w:rPr>
                <w:color w:val="C00000"/>
              </w:rPr>
              <w:t xml:space="preserve"> is larger than 25% (The exact evaluation period is no less than one radio frame); or</w:t>
            </w:r>
          </w:p>
          <w:p w:rsidR="00EF002D" w:rsidRDefault="00EF002D" w:rsidP="007879BA">
            <w:pPr>
              <w:pStyle w:val="B1"/>
              <w:rPr>
                <w:color w:val="C00000"/>
              </w:rPr>
            </w:pPr>
            <w:r w:rsidRPr="00626AEB">
              <w:rPr>
                <w:color w:val="C00000"/>
              </w:rPr>
              <w:t>-</w:t>
            </w:r>
            <w:r w:rsidRPr="00626AEB">
              <w:rPr>
                <w:color w:val="C00000"/>
              </w:rPr>
              <w:tab/>
              <w:t xml:space="preserve">if the field of UE capability </w:t>
            </w:r>
            <w:r w:rsidRPr="00626AEB">
              <w:rPr>
                <w:i/>
                <w:color w:val="C00000"/>
              </w:rPr>
              <w:t>maxUplinkDutyCycle-PC2-FR1</w:t>
            </w:r>
            <w:r w:rsidRPr="00626AEB">
              <w:rPr>
                <w:color w:val="C00000"/>
              </w:rPr>
              <w:t xml:space="preserve"> is not absent and </w:t>
            </w:r>
            <w:r w:rsidRPr="00626AEB">
              <w:rPr>
                <w:color w:val="C00000"/>
                <w:lang w:eastAsia="zh-CN"/>
              </w:rPr>
              <w:t>the percentage of total uplink symbols transmitted on all UL CCs in a certain evaluation period</w:t>
            </w:r>
            <w:r w:rsidRPr="00626AEB">
              <w:rPr>
                <w:color w:val="C00000"/>
              </w:rPr>
              <w:t xml:space="preserve"> is larger than 0.5*</w:t>
            </w:r>
            <w:r w:rsidRPr="00626AEB">
              <w:rPr>
                <w:i/>
                <w:color w:val="C00000"/>
              </w:rPr>
              <w:t>maxUplinkDutyCycle-PC2-FR1</w:t>
            </w:r>
            <w:r w:rsidRPr="00626AEB">
              <w:rPr>
                <w:color w:val="C00000"/>
              </w:rPr>
              <w:t xml:space="preserve"> as defined in TS 38.306 (The exact evaluation period is no less than one radio frame); or</w:t>
            </w:r>
          </w:p>
          <w:p w:rsidR="00EF002D" w:rsidRDefault="00EF002D" w:rsidP="007879BA">
            <w:pPr>
              <w:pStyle w:val="B1"/>
              <w:rPr>
                <w:color w:val="C00000"/>
              </w:rPr>
            </w:pPr>
            <w:r w:rsidRPr="00626AEB">
              <w:rPr>
                <w:color w:val="C00000"/>
              </w:rPr>
              <w:t>-</w:t>
            </w:r>
            <w:r w:rsidRPr="00626AEB">
              <w:rPr>
                <w:color w:val="C00000"/>
              </w:rPr>
              <w:tab/>
              <w:t xml:space="preserve">if the field of UE capability </w:t>
            </w:r>
            <w:r w:rsidRPr="00185648">
              <w:rPr>
                <w:i/>
                <w:color w:val="C00000"/>
              </w:rPr>
              <w:t>maxUplinkDutyCycle-PC1dot5-MPE-FR1</w:t>
            </w:r>
            <w:r w:rsidRPr="00626AEB">
              <w:rPr>
                <w:color w:val="C00000"/>
              </w:rPr>
              <w:t xml:space="preserve"> is not absent and </w:t>
            </w:r>
            <w:r w:rsidRPr="00626AEB">
              <w:rPr>
                <w:color w:val="C00000"/>
                <w:lang w:eastAsia="zh-CN"/>
              </w:rPr>
              <w:t>the percentage of total uplink symbols transmitted on all UL CCs in a certain evaluation period</w:t>
            </w:r>
            <w:r>
              <w:rPr>
                <w:color w:val="C00000"/>
              </w:rPr>
              <w:t xml:space="preserve"> is larger than </w:t>
            </w:r>
            <w:r w:rsidRPr="00185648">
              <w:rPr>
                <w:i/>
                <w:color w:val="C00000"/>
              </w:rPr>
              <w:t>maxUplinkDutyCycle-PC1dot5-MPE-FR1</w:t>
            </w:r>
            <w:r w:rsidRPr="00626AEB">
              <w:rPr>
                <w:color w:val="C00000"/>
              </w:rPr>
              <w:t xml:space="preserve"> as defined in TS 38.306 (The exact evaluation period is no less t</w:t>
            </w:r>
            <w:r>
              <w:rPr>
                <w:color w:val="C00000"/>
              </w:rPr>
              <w:t>24</w:t>
            </w:r>
            <w:r w:rsidRPr="00626AEB">
              <w:rPr>
                <w:color w:val="C00000"/>
              </w:rPr>
              <w:t>han one radio frame); or</w:t>
            </w:r>
          </w:p>
          <w:p w:rsidR="00EF002D" w:rsidRPr="00626AEB" w:rsidRDefault="00EF002D" w:rsidP="007879BA">
            <w:pPr>
              <w:pStyle w:val="B1"/>
              <w:rPr>
                <w:color w:val="C00000"/>
              </w:rPr>
            </w:pPr>
            <w:r w:rsidRPr="00626AEB">
              <w:rPr>
                <w:color w:val="C00000"/>
              </w:rPr>
              <w:t>-</w:t>
            </w:r>
            <w:r w:rsidRPr="00626AEB">
              <w:rPr>
                <w:color w:val="C00000"/>
              </w:rPr>
              <w:tab/>
              <w:t>if</w:t>
            </w:r>
            <w:r w:rsidRPr="00626AEB">
              <w:rPr>
                <w:color w:val="C00000"/>
                <w:lang w:eastAsia="zh-CN"/>
              </w:rPr>
              <w:t xml:space="preserve"> </w:t>
            </w:r>
            <w:r w:rsidRPr="00626AEB">
              <w:rPr>
                <w:rFonts w:cs="Vrinda"/>
                <w:color w:val="C00000"/>
                <w:lang w:bidi="bn-IN"/>
              </w:rPr>
              <w:t>10 log</w:t>
            </w:r>
            <w:r w:rsidRPr="00626AEB">
              <w:rPr>
                <w:rFonts w:cs="Vrinda"/>
                <w:color w:val="C00000"/>
                <w:vertAlign w:val="subscript"/>
                <w:lang w:bidi="bn-IN"/>
              </w:rPr>
              <w:t>10</w:t>
            </w:r>
            <w:r w:rsidRPr="00626AEB">
              <w:rPr>
                <w:rFonts w:cs="Vrinda"/>
                <w:color w:val="C00000"/>
                <w:lang w:bidi="bn-IN"/>
              </w:rPr>
              <w:t xml:space="preserve"> </w:t>
            </w:r>
            <w:r w:rsidRPr="00626AEB">
              <w:rPr>
                <w:color w:val="C00000"/>
              </w:rPr>
              <w:t xml:space="preserve">∑ </w:t>
            </w:r>
            <w:proofErr w:type="spellStart"/>
            <w:proofErr w:type="gramStart"/>
            <w:r w:rsidRPr="00626AEB">
              <w:rPr>
                <w:rFonts w:cs="Vrinda"/>
                <w:color w:val="C00000"/>
                <w:lang w:bidi="bn-IN"/>
              </w:rPr>
              <w:t>p</w:t>
            </w:r>
            <w:r w:rsidRPr="00626AEB">
              <w:rPr>
                <w:rFonts w:cs="Vrinda"/>
                <w:color w:val="C00000"/>
                <w:vertAlign w:val="subscript"/>
                <w:lang w:bidi="bn-IN"/>
              </w:rPr>
              <w:t>EMAX,c</w:t>
            </w:r>
            <w:proofErr w:type="spellEnd"/>
            <w:proofErr w:type="gramEnd"/>
            <w:r w:rsidRPr="00626AEB">
              <w:rPr>
                <w:color w:val="C00000"/>
                <w:lang w:eastAsia="zh-CN"/>
              </w:rPr>
              <w:t xml:space="preserve"> or </w:t>
            </w:r>
            <w:r w:rsidRPr="00626AEB">
              <w:rPr>
                <w:color w:val="C00000"/>
                <w:lang w:bidi="bn-IN"/>
              </w:rPr>
              <w:t>P</w:t>
            </w:r>
            <w:r w:rsidRPr="00626AEB">
              <w:rPr>
                <w:color w:val="C00000"/>
                <w:vertAlign w:val="subscript"/>
                <w:lang w:bidi="bn-IN"/>
              </w:rPr>
              <w:t xml:space="preserve">EMAX,CA </w:t>
            </w:r>
            <w:r w:rsidRPr="00626AEB">
              <w:rPr>
                <w:color w:val="C00000"/>
                <w:lang w:eastAsia="zh-CN"/>
              </w:rPr>
              <w:t xml:space="preserve">which </w:t>
            </w:r>
            <w:r w:rsidRPr="00626AEB">
              <w:rPr>
                <w:color w:val="C00000"/>
              </w:rPr>
              <w:t>defined in clause 6.2A.4.1.1</w:t>
            </w:r>
            <w:r>
              <w:rPr>
                <w:color w:val="C00000"/>
              </w:rPr>
              <w:t>/2</w:t>
            </w:r>
            <w:r w:rsidRPr="00626AEB">
              <w:rPr>
                <w:color w:val="C00000"/>
              </w:rPr>
              <w:t xml:space="preserve"> is 26dBm</w:t>
            </w:r>
            <w:r w:rsidRPr="00626AEB">
              <w:rPr>
                <w:color w:val="C00000"/>
                <w:lang w:eastAsia="zh-CN"/>
              </w:rPr>
              <w:t xml:space="preserve"> or lower</w:t>
            </w:r>
            <w:r w:rsidRPr="00626AEB">
              <w:rPr>
                <w:color w:val="C00000"/>
              </w:rPr>
              <w:t>;</w:t>
            </w:r>
          </w:p>
          <w:p w:rsidR="00EF002D" w:rsidRPr="00626AEB" w:rsidRDefault="00EF002D" w:rsidP="007879BA">
            <w:pPr>
              <w:pStyle w:val="B2"/>
              <w:rPr>
                <w:color w:val="C00000"/>
              </w:rPr>
            </w:pPr>
            <w:r w:rsidRPr="00626AEB">
              <w:rPr>
                <w:color w:val="C00000"/>
              </w:rPr>
              <w:t>-</w:t>
            </w:r>
            <w:r w:rsidRPr="00626AEB">
              <w:rPr>
                <w:color w:val="C00000"/>
              </w:rPr>
              <w:tab/>
              <w:t>shall apply all requirements for the power class 2 to the supported power class and set the configured transmitted power as specified in clause 6.2A.4.1.1</w:t>
            </w:r>
            <w:r>
              <w:rPr>
                <w:color w:val="C00000"/>
              </w:rPr>
              <w:t>/2</w:t>
            </w:r>
            <w:r w:rsidRPr="00626AEB">
              <w:rPr>
                <w:color w:val="C00000"/>
              </w:rPr>
              <w:t>;</w:t>
            </w:r>
          </w:p>
          <w:p w:rsidR="00EF002D" w:rsidRDefault="00EF002D" w:rsidP="007879BA">
            <w:pPr>
              <w:pStyle w:val="B1"/>
            </w:pPr>
            <w:r w:rsidRPr="00A1115A">
              <w:t>-</w:t>
            </w:r>
            <w:r w:rsidRPr="00A1115A">
              <w:tab/>
              <w:t xml:space="preserve">else shall apply all requirements for the supported power class and set the configured transmitted power as specified in clause </w:t>
            </w:r>
            <w:r>
              <w:t>6.2A.4.1.1/2</w:t>
            </w:r>
            <w:r w:rsidRPr="00A1115A">
              <w:t>.</w:t>
            </w:r>
          </w:p>
        </w:tc>
      </w:tr>
    </w:tbl>
    <w:p w:rsidR="00EF002D" w:rsidRDefault="00EF002D" w:rsidP="00EF002D">
      <w:pPr>
        <w:snapToGrid w:val="0"/>
        <w:spacing w:after="120"/>
      </w:pPr>
    </w:p>
    <w:p w:rsidR="00EF002D" w:rsidRDefault="00EF002D" w:rsidP="00EF002D">
      <w:pPr>
        <w:snapToGrid w:val="0"/>
        <w:spacing w:after="120"/>
      </w:pPr>
      <w:r>
        <w:t>With this example, the SAR solution to intra-band CA in PC2 and PC1.5 can be unified to one, based on the current structure of the SAR solution to PC2. And there is no difference of SAR solution between intra-band contiguous and non-contiguous CA.</w:t>
      </w:r>
    </w:p>
    <w:p w:rsidR="00EF002D" w:rsidRPr="007D09B1" w:rsidRDefault="00CC2494" w:rsidP="00EF002D">
      <w:pPr>
        <w:pStyle w:val="Caption"/>
        <w:snapToGrid w:val="0"/>
        <w:rPr>
          <w:b w:val="0"/>
          <w:bCs w:val="0"/>
          <w:lang w:eastAsia="zh-CN"/>
        </w:rPr>
      </w:pPr>
      <w:bookmarkStart w:id="3" w:name="_Ref162548271"/>
      <w:r>
        <w:t>Proposal</w:t>
      </w:r>
      <w:r w:rsidR="00EF002D">
        <w:t xml:space="preserve"> </w:t>
      </w:r>
      <w:r>
        <w:t>2</w:t>
      </w:r>
      <w:r w:rsidR="00EF002D" w:rsidRPr="003232BA">
        <w:t xml:space="preserve">: The </w:t>
      </w:r>
      <w:r w:rsidR="00EF002D">
        <w:t xml:space="preserve">duty-cycle based </w:t>
      </w:r>
      <w:r w:rsidR="00EF002D" w:rsidRPr="00DC3373">
        <w:t xml:space="preserve">SAR solution </w:t>
      </w:r>
      <w:r w:rsidR="00EF002D">
        <w:t>for</w:t>
      </w:r>
      <w:r w:rsidR="00EF002D" w:rsidRPr="00DC3373">
        <w:t xml:space="preserve"> </w:t>
      </w:r>
      <w:r w:rsidR="00EF002D" w:rsidRPr="00DF7682">
        <w:t>PC2 and PC1.5</w:t>
      </w:r>
      <w:r w:rsidR="00EF002D">
        <w:t xml:space="preserve"> </w:t>
      </w:r>
      <w:r w:rsidR="00EF002D" w:rsidRPr="00DC3373">
        <w:t xml:space="preserve">intra-band CA can be unified based on the current structure of the SAR solution </w:t>
      </w:r>
      <w:r w:rsidR="00EF002D">
        <w:t>f</w:t>
      </w:r>
      <w:r w:rsidR="00EF002D" w:rsidRPr="00DC3373">
        <w:t>o</w:t>
      </w:r>
      <w:r w:rsidR="00EF002D">
        <w:t>r</w:t>
      </w:r>
      <w:r w:rsidR="00EF002D" w:rsidRPr="00DC3373">
        <w:t xml:space="preserve"> PC2. And there is no difference of </w:t>
      </w:r>
      <w:r w:rsidR="00EF002D">
        <w:t xml:space="preserve">the </w:t>
      </w:r>
      <w:r w:rsidR="00EF002D" w:rsidRPr="00DC3373">
        <w:t>SAR solution between intra-band contiguous and non-contiguous CA.</w:t>
      </w:r>
      <w:bookmarkEnd w:id="3"/>
    </w:p>
    <w:p w:rsidR="00476C4E" w:rsidRDefault="00476C4E" w:rsidP="0032334C">
      <w:pPr>
        <w:pStyle w:val="Heading4"/>
      </w:pPr>
      <w:r>
        <w:t>2.</w:t>
      </w:r>
      <w:r w:rsidR="00262AF2">
        <w:t>2</w:t>
      </w:r>
      <w:r>
        <w:t xml:space="preserve"> </w:t>
      </w:r>
      <w:r w:rsidRPr="00652D7C">
        <w:t>SAR solution for inter-band CA with PC1.5 and inter-band EN-DC with PC1.5/PC2</w:t>
      </w:r>
    </w:p>
    <w:p w:rsidR="00476C4E" w:rsidRDefault="00476C4E" w:rsidP="00476C4E">
      <w:pPr>
        <w:snapToGrid w:val="0"/>
        <w:spacing w:after="120"/>
      </w:pPr>
      <w:r>
        <w:t>For inter-band CA, we listed the scenarios in Table 3 for high power UE that have been supported in the previous release and included in Rel-19 scope.</w:t>
      </w:r>
    </w:p>
    <w:p w:rsidR="00476C4E" w:rsidRDefault="00476C4E" w:rsidP="00476C4E">
      <w:pPr>
        <w:snapToGrid w:val="0"/>
        <w:spacing w:after="120"/>
      </w:pPr>
      <w:r w:rsidRPr="00FE3F68">
        <w:fldChar w:fldCharType="begin"/>
      </w:r>
      <w:r w:rsidRPr="00FE3F68">
        <w:instrText xml:space="preserve"> REF _Ref162384942 \h  \* MERGEFORMAT </w:instrText>
      </w:r>
      <w:r w:rsidRPr="00FE3F68">
        <w:fldChar w:fldCharType="separate"/>
      </w:r>
      <w:r w:rsidRPr="00FE3F68">
        <w:t xml:space="preserve">Table </w:t>
      </w:r>
      <w:r>
        <w:rPr>
          <w:noProof/>
        </w:rPr>
        <w:t>3</w:t>
      </w:r>
      <w:r w:rsidRPr="00FE3F68">
        <w:fldChar w:fldCharType="end"/>
      </w:r>
      <w:r w:rsidRPr="00FE3F68">
        <w:t xml:space="preserve"> illustrates the scenarios for PC1.5 inter-band CA with possible interests from operators, including PC2+PC2 for 2Tx, and PC2+PC1.5 for 3Tx.</w:t>
      </w:r>
    </w:p>
    <w:p w:rsidR="00476C4E" w:rsidRDefault="00476C4E" w:rsidP="00476C4E">
      <w:pPr>
        <w:spacing w:after="120"/>
      </w:pPr>
      <w:r>
        <w:t>The duty-cycle based SAR solution for 2Tx inter-band CA with PC1.5 can be defined as follows in sub-clause 6.2A.1.3.</w:t>
      </w:r>
    </w:p>
    <w:tbl>
      <w:tblPr>
        <w:tblStyle w:val="TableGrid"/>
        <w:tblW w:w="0" w:type="auto"/>
        <w:tblLook w:val="04A0" w:firstRow="1" w:lastRow="0" w:firstColumn="1" w:lastColumn="0" w:noHBand="0" w:noVBand="1"/>
      </w:tblPr>
      <w:tblGrid>
        <w:gridCol w:w="9855"/>
      </w:tblGrid>
      <w:tr w:rsidR="00476C4E" w:rsidTr="00D23E01">
        <w:tc>
          <w:tcPr>
            <w:tcW w:w="10552" w:type="dxa"/>
          </w:tcPr>
          <w:p w:rsidR="00476C4E" w:rsidRDefault="00476C4E" w:rsidP="00D23E01">
            <w:r>
              <w:t>If a UE supports a different power class than the default UE power class for the band</w:t>
            </w:r>
            <w:r w:rsidRPr="00F96C6E">
              <w:rPr>
                <w:rFonts w:hint="eastAsia"/>
              </w:rPr>
              <w:t xml:space="preserve"> combination</w:t>
            </w:r>
            <w:r>
              <w:rPr>
                <w:rFonts w:hint="eastAsia"/>
              </w:rPr>
              <w:t xml:space="preserve"> listed in </w:t>
            </w:r>
            <w:r w:rsidRPr="00A1115A">
              <w:t>Table 6.2A.1.3-1</w:t>
            </w:r>
            <w:r>
              <w:t xml:space="preserve"> and the supported power class enables the higher maximum output power than that of the default power class:</w:t>
            </w:r>
          </w:p>
          <w:p w:rsidR="00476C4E" w:rsidRPr="0059667F" w:rsidRDefault="00476C4E" w:rsidP="00D23E01">
            <w:pPr>
              <w:ind w:left="568" w:hanging="284"/>
              <w:rPr>
                <w:rFonts w:eastAsia="DengXian"/>
              </w:rPr>
            </w:pPr>
            <w:r w:rsidRPr="0059667F">
              <w:rPr>
                <w:rFonts w:eastAsia="DengXian"/>
              </w:rPr>
              <w:t>–</w:t>
            </w:r>
            <w:r w:rsidRPr="0059667F">
              <w:rPr>
                <w:rFonts w:eastAsia="DengXian"/>
              </w:rPr>
              <w:tab/>
              <w:t xml:space="preserve">if the field of UE capability </w:t>
            </w:r>
            <w:r w:rsidRPr="0059667F">
              <w:rPr>
                <w:rFonts w:eastAsia="DengXian"/>
                <w:i/>
              </w:rPr>
              <w:t>maxUplinkDutyCycle-interBandCA-PC2</w:t>
            </w:r>
            <w:r w:rsidRPr="0059667F">
              <w:rPr>
                <w:rFonts w:eastAsia="DengXian"/>
              </w:rPr>
              <w:t xml:space="preserve"> is not absent and the average percentage of uplink symbols transmitted in a certain evaluation period is larger than </w:t>
            </w:r>
            <w:r w:rsidRPr="0059667F">
              <w:rPr>
                <w:rFonts w:eastAsia="DengXian"/>
                <w:i/>
              </w:rPr>
              <w:t>maxUplinkDutyCycle-interBandCA-PC2</w:t>
            </w:r>
            <w:r w:rsidRPr="0059667F">
              <w:rPr>
                <w:rFonts w:eastAsia="DengXian"/>
              </w:rPr>
              <w:t xml:space="preserve"> as defined in TS 38.306 (The exact evaluation period is no less than one radio frame); or</w:t>
            </w:r>
          </w:p>
          <w:p w:rsidR="00476C4E" w:rsidRPr="0059667F" w:rsidRDefault="00476C4E" w:rsidP="00D23E01">
            <w:pPr>
              <w:ind w:left="568" w:hanging="284"/>
              <w:rPr>
                <w:lang w:bidi="bn-IN"/>
              </w:rPr>
            </w:pPr>
            <w:r w:rsidRPr="0059667F">
              <w:rPr>
                <w:rFonts w:eastAsia="DengXian"/>
              </w:rPr>
              <w:t>–</w:t>
            </w:r>
            <w:r w:rsidRPr="0059667F">
              <w:rPr>
                <w:rFonts w:eastAsia="DengXian"/>
              </w:rPr>
              <w:tab/>
            </w:r>
            <w:r w:rsidRPr="0059667F">
              <w:t xml:space="preserve"> if </w:t>
            </w:r>
            <w:r w:rsidRPr="0059667F">
              <w:rPr>
                <w:rFonts w:cs="Vrinda"/>
                <w:lang w:bidi="bn-IN"/>
              </w:rPr>
              <w:t>10 log</w:t>
            </w:r>
            <w:r w:rsidRPr="0059667F">
              <w:rPr>
                <w:rFonts w:cs="Vrinda"/>
                <w:vertAlign w:val="subscript"/>
                <w:lang w:bidi="bn-IN"/>
              </w:rPr>
              <w:t>10</w:t>
            </w:r>
            <w:r w:rsidRPr="0059667F">
              <w:rPr>
                <w:rFonts w:cs="Vrinda"/>
                <w:lang w:bidi="bn-IN"/>
              </w:rPr>
              <w:t xml:space="preserve"> </w:t>
            </w:r>
            <w:r w:rsidRPr="0059667F">
              <w:t xml:space="preserve">∑ </w:t>
            </w:r>
            <w:proofErr w:type="spellStart"/>
            <w:proofErr w:type="gramStart"/>
            <w:r w:rsidRPr="0059667F">
              <w:rPr>
                <w:rFonts w:cs="Vrinda"/>
                <w:lang w:bidi="bn-IN"/>
              </w:rPr>
              <w:t>p</w:t>
            </w:r>
            <w:r w:rsidRPr="0059667F">
              <w:rPr>
                <w:rFonts w:cs="Vrinda"/>
                <w:vertAlign w:val="subscript"/>
                <w:lang w:bidi="bn-IN"/>
              </w:rPr>
              <w:t>EMAX,c</w:t>
            </w:r>
            <w:proofErr w:type="spellEnd"/>
            <w:proofErr w:type="gramEnd"/>
            <w:r w:rsidRPr="0059667F">
              <w:t xml:space="preserve"> or </w:t>
            </w:r>
            <w:r w:rsidRPr="0059667F">
              <w:rPr>
                <w:lang w:bidi="bn-IN"/>
              </w:rPr>
              <w:t>P</w:t>
            </w:r>
            <w:r w:rsidRPr="0059667F">
              <w:rPr>
                <w:vertAlign w:val="subscript"/>
                <w:lang w:bidi="bn-IN"/>
              </w:rPr>
              <w:t>EMAX,CA</w:t>
            </w:r>
            <w:r w:rsidRPr="0059667F">
              <w:t xml:space="preserve"> which defined in clause 6.2A.4.1.3 is 23dBm or lower;</w:t>
            </w:r>
          </w:p>
          <w:p w:rsidR="00476C4E" w:rsidRPr="0059667F" w:rsidRDefault="00476C4E" w:rsidP="00D23E01">
            <w:pPr>
              <w:pStyle w:val="B2"/>
              <w:ind w:leftChars="300" w:left="1000" w:hangingChars="200" w:hanging="400"/>
              <w:rPr>
                <w:rFonts w:eastAsia="DengXian"/>
              </w:rPr>
            </w:pPr>
            <w:r w:rsidRPr="0059667F">
              <w:rPr>
                <w:rFonts w:eastAsia="DengXian"/>
              </w:rPr>
              <w:lastRenderedPageBreak/>
              <w:t>–</w:t>
            </w:r>
            <w:r w:rsidRPr="0059667F">
              <w:rPr>
                <w:rFonts w:eastAsia="DengXian"/>
              </w:rPr>
              <w:tab/>
              <w:t>shall apply all requirements for the default power class to the supported power class and set the configured transmitted power as specified in clause 6.2</w:t>
            </w:r>
            <w:r w:rsidRPr="0059667F">
              <w:rPr>
                <w:rFonts w:eastAsia="DengXian" w:hint="eastAsia"/>
                <w:lang w:eastAsia="zh-CN"/>
              </w:rPr>
              <w:t>A</w:t>
            </w:r>
            <w:r w:rsidRPr="0059667F">
              <w:rPr>
                <w:rFonts w:eastAsia="DengXian"/>
              </w:rPr>
              <w:t>.4.1.3;</w:t>
            </w:r>
          </w:p>
          <w:p w:rsidR="00476C4E" w:rsidRPr="0059667F" w:rsidRDefault="00476C4E" w:rsidP="00D23E01">
            <w:pPr>
              <w:ind w:left="568" w:hanging="284"/>
              <w:rPr>
                <w:rFonts w:eastAsia="DengXian"/>
                <w:color w:val="C00000"/>
              </w:rPr>
            </w:pPr>
            <w:r w:rsidRPr="0059667F">
              <w:rPr>
                <w:rFonts w:eastAsia="DengXian"/>
                <w:color w:val="C00000"/>
              </w:rPr>
              <w:t>–</w:t>
            </w:r>
            <w:r w:rsidRPr="0059667F">
              <w:rPr>
                <w:rFonts w:eastAsia="DengXian"/>
                <w:color w:val="C00000"/>
              </w:rPr>
              <w:tab/>
              <w:t xml:space="preserve">else if the field of UE capability </w:t>
            </w:r>
            <w:r w:rsidRPr="0059667F">
              <w:rPr>
                <w:rFonts w:eastAsia="DengXian"/>
                <w:i/>
                <w:color w:val="C00000"/>
              </w:rPr>
              <w:t>maxUplinkDutyCycle-interBandCA-PC2</w:t>
            </w:r>
            <w:r w:rsidRPr="0059667F">
              <w:rPr>
                <w:rFonts w:eastAsia="DengXian"/>
                <w:color w:val="C00000"/>
              </w:rPr>
              <w:t xml:space="preserve"> is not absent and the average percentage of uplink symbols transmitted in a certain evaluation period is larger than 0.5*</w:t>
            </w:r>
            <w:r w:rsidRPr="0059667F">
              <w:rPr>
                <w:rFonts w:eastAsia="DengXian"/>
                <w:i/>
                <w:color w:val="C00000"/>
              </w:rPr>
              <w:t>maxUplinkDutyCycle-interBandCA-PC2</w:t>
            </w:r>
            <w:r w:rsidRPr="0059667F">
              <w:rPr>
                <w:rFonts w:eastAsia="DengXian"/>
                <w:color w:val="C00000"/>
              </w:rPr>
              <w:t xml:space="preserve"> as defined in TS 38. 306 (The exact evaluation period is no less than one radio frame); or</w:t>
            </w:r>
          </w:p>
          <w:p w:rsidR="00476C4E" w:rsidRPr="0059667F" w:rsidRDefault="00476C4E" w:rsidP="00D23E01">
            <w:pPr>
              <w:ind w:left="568" w:hanging="284"/>
              <w:rPr>
                <w:color w:val="C00000"/>
                <w:lang w:bidi="bn-IN"/>
              </w:rPr>
            </w:pPr>
            <w:r w:rsidRPr="0059667F">
              <w:rPr>
                <w:rFonts w:eastAsia="DengXian"/>
                <w:color w:val="C00000"/>
              </w:rPr>
              <w:t>–</w:t>
            </w:r>
            <w:r w:rsidRPr="0059667F">
              <w:rPr>
                <w:rFonts w:eastAsia="DengXian"/>
                <w:color w:val="C00000"/>
              </w:rPr>
              <w:tab/>
            </w:r>
            <w:r w:rsidRPr="0059667F">
              <w:rPr>
                <w:color w:val="C00000"/>
              </w:rPr>
              <w:t xml:space="preserve"> if </w:t>
            </w:r>
            <w:r w:rsidRPr="0059667F">
              <w:rPr>
                <w:rFonts w:cs="Vrinda"/>
                <w:color w:val="C00000"/>
                <w:lang w:bidi="bn-IN"/>
              </w:rPr>
              <w:t>10 log</w:t>
            </w:r>
            <w:r w:rsidRPr="0059667F">
              <w:rPr>
                <w:rFonts w:cs="Vrinda"/>
                <w:color w:val="C00000"/>
                <w:vertAlign w:val="subscript"/>
                <w:lang w:bidi="bn-IN"/>
              </w:rPr>
              <w:t>10</w:t>
            </w:r>
            <w:r w:rsidRPr="0059667F">
              <w:rPr>
                <w:rFonts w:cs="Vrinda"/>
                <w:color w:val="C00000"/>
                <w:lang w:bidi="bn-IN"/>
              </w:rPr>
              <w:t xml:space="preserve"> </w:t>
            </w:r>
            <w:r w:rsidRPr="0059667F">
              <w:rPr>
                <w:color w:val="C00000"/>
              </w:rPr>
              <w:t xml:space="preserve">∑ </w:t>
            </w:r>
            <w:proofErr w:type="spellStart"/>
            <w:proofErr w:type="gramStart"/>
            <w:r w:rsidRPr="0059667F">
              <w:rPr>
                <w:rFonts w:cs="Vrinda"/>
                <w:color w:val="C00000"/>
                <w:lang w:bidi="bn-IN"/>
              </w:rPr>
              <w:t>p</w:t>
            </w:r>
            <w:r w:rsidRPr="0059667F">
              <w:rPr>
                <w:rFonts w:cs="Vrinda"/>
                <w:color w:val="C00000"/>
                <w:vertAlign w:val="subscript"/>
                <w:lang w:bidi="bn-IN"/>
              </w:rPr>
              <w:t>EMAX,c</w:t>
            </w:r>
            <w:proofErr w:type="spellEnd"/>
            <w:proofErr w:type="gramEnd"/>
            <w:r w:rsidRPr="0059667F">
              <w:rPr>
                <w:color w:val="C00000"/>
              </w:rPr>
              <w:t xml:space="preserve"> or </w:t>
            </w:r>
            <w:r w:rsidRPr="0059667F">
              <w:rPr>
                <w:color w:val="C00000"/>
                <w:lang w:bidi="bn-IN"/>
              </w:rPr>
              <w:t>P</w:t>
            </w:r>
            <w:r w:rsidRPr="0059667F">
              <w:rPr>
                <w:color w:val="C00000"/>
                <w:vertAlign w:val="subscript"/>
                <w:lang w:bidi="bn-IN"/>
              </w:rPr>
              <w:t>EMAX,CA</w:t>
            </w:r>
            <w:r w:rsidRPr="0059667F">
              <w:rPr>
                <w:color w:val="C00000"/>
              </w:rPr>
              <w:t xml:space="preserve"> which defined in clause 6.2A.4.1.3 is 26dBm or lower;</w:t>
            </w:r>
          </w:p>
          <w:p w:rsidR="00476C4E" w:rsidRPr="00FD6D89" w:rsidRDefault="00476C4E" w:rsidP="00D23E01">
            <w:pPr>
              <w:pStyle w:val="B2"/>
              <w:ind w:leftChars="300" w:left="1000" w:hangingChars="200" w:hanging="400"/>
              <w:rPr>
                <w:color w:val="C00000"/>
                <w:lang w:eastAsia="zh-CN"/>
              </w:rPr>
            </w:pPr>
            <w:r w:rsidRPr="0059667F">
              <w:rPr>
                <w:rFonts w:eastAsia="DengXian"/>
                <w:color w:val="C00000"/>
              </w:rPr>
              <w:t>–</w:t>
            </w:r>
            <w:r w:rsidRPr="0059667F">
              <w:rPr>
                <w:rFonts w:eastAsia="DengXian"/>
                <w:color w:val="C00000"/>
              </w:rPr>
              <w:tab/>
              <w:t>shall apply all requirements for the power class 2 to the supported</w:t>
            </w:r>
            <w:r w:rsidRPr="00FD6D89">
              <w:rPr>
                <w:rFonts w:eastAsia="DengXian"/>
                <w:color w:val="C00000"/>
              </w:rPr>
              <w:t xml:space="preserve"> power class and set the configured transmitted power as specified in clause 6.2</w:t>
            </w:r>
            <w:r w:rsidRPr="00FD6D89">
              <w:rPr>
                <w:rFonts w:eastAsia="DengXian" w:hint="eastAsia"/>
                <w:color w:val="C00000"/>
                <w:lang w:eastAsia="zh-CN"/>
              </w:rPr>
              <w:t>A</w:t>
            </w:r>
            <w:r w:rsidRPr="00FD6D89">
              <w:rPr>
                <w:rFonts w:eastAsia="DengXian"/>
                <w:color w:val="C00000"/>
              </w:rPr>
              <w:t>.4.1.3;</w:t>
            </w:r>
          </w:p>
          <w:p w:rsidR="00476C4E" w:rsidRDefault="00476C4E" w:rsidP="00D23E01">
            <w:pPr>
              <w:pStyle w:val="B1"/>
              <w:rPr>
                <w:lang w:eastAsia="zh-CN"/>
              </w:rPr>
            </w:pPr>
            <w:r w:rsidRPr="00E062F1">
              <w:t>–</w:t>
            </w:r>
            <w:r w:rsidRPr="00E062F1">
              <w:tab/>
            </w:r>
            <w:r>
              <w:rPr>
                <w:rFonts w:hint="eastAsia"/>
                <w:lang w:eastAsia="zh-CN"/>
              </w:rPr>
              <w:t>else;</w:t>
            </w:r>
          </w:p>
          <w:p w:rsidR="00476C4E" w:rsidRPr="00F96C6E" w:rsidRDefault="00476C4E" w:rsidP="00D23E01">
            <w:pPr>
              <w:pStyle w:val="B2"/>
              <w:ind w:leftChars="300" w:left="1000" w:hangingChars="200" w:hanging="400"/>
              <w:rPr>
                <w:lang w:eastAsia="zh-CN"/>
              </w:rPr>
            </w:pPr>
            <w:r w:rsidRPr="008E0D2D">
              <w:rPr>
                <w:rFonts w:eastAsia="DengXian"/>
              </w:rPr>
              <w:t>–</w:t>
            </w:r>
            <w:r w:rsidRPr="008E0D2D">
              <w:rPr>
                <w:rFonts w:eastAsia="DengXian"/>
              </w:rPr>
              <w:tab/>
              <w:t>shall apply all requirements for the supported power class and set the configured transmitted power as specified in clause 6.2</w:t>
            </w:r>
            <w:r w:rsidRPr="008E0D2D">
              <w:rPr>
                <w:rFonts w:hint="eastAsia"/>
                <w:lang w:eastAsia="zh-CN"/>
              </w:rPr>
              <w:t>A</w:t>
            </w:r>
            <w:r w:rsidRPr="008E0D2D">
              <w:rPr>
                <w:rFonts w:eastAsia="DengXian"/>
              </w:rPr>
              <w:t>.4</w:t>
            </w:r>
            <w:r>
              <w:rPr>
                <w:rFonts w:eastAsia="DengXian"/>
              </w:rPr>
              <w:t>.1.3</w:t>
            </w:r>
            <w:r w:rsidRPr="008E0D2D">
              <w:rPr>
                <w:rFonts w:eastAsia="DengXian" w:hint="eastAsia"/>
                <w:lang w:eastAsia="zh-CN"/>
              </w:rPr>
              <w:t xml:space="preserve"> (r</w:t>
            </w:r>
            <w:r w:rsidRPr="008E0D2D">
              <w:rPr>
                <w:rFonts w:eastAsia="DengXian"/>
              </w:rPr>
              <w:t>egardless of the average percentage of uplink symbols</w:t>
            </w:r>
            <w:r w:rsidRPr="008E0D2D">
              <w:rPr>
                <w:rFonts w:eastAsia="DengXian" w:hint="eastAsia"/>
                <w:lang w:eastAsia="zh-CN"/>
              </w:rPr>
              <w:t xml:space="preserve"> if </w:t>
            </w:r>
            <w:r w:rsidRPr="008E0D2D">
              <w:rPr>
                <w:rFonts w:eastAsia="DengXian"/>
              </w:rPr>
              <w:t xml:space="preserve">the field of UE capability </w:t>
            </w:r>
            <w:r w:rsidRPr="008E0D2D">
              <w:rPr>
                <w:rFonts w:eastAsia="DengXian"/>
                <w:i/>
              </w:rPr>
              <w:t>maxUplinkDutyCycle-</w:t>
            </w:r>
            <w:r w:rsidRPr="008E0D2D">
              <w:rPr>
                <w:rFonts w:eastAsia="DengXian" w:hint="eastAsia"/>
                <w:i/>
                <w:lang w:eastAsia="zh-CN"/>
              </w:rPr>
              <w:t>interBand</w:t>
            </w:r>
            <w:r w:rsidRPr="008E0D2D">
              <w:rPr>
                <w:rFonts w:eastAsia="DengXian"/>
                <w:i/>
              </w:rPr>
              <w:t>CA-PC2</w:t>
            </w:r>
            <w:r w:rsidRPr="008E0D2D">
              <w:rPr>
                <w:rFonts w:eastAsia="DengXian"/>
              </w:rPr>
              <w:t xml:space="preserve"> is absent</w:t>
            </w:r>
            <w:r w:rsidRPr="008E0D2D">
              <w:rPr>
                <w:rFonts w:eastAsia="DengXian" w:hint="eastAsia"/>
                <w:lang w:eastAsia="zh-CN"/>
              </w:rPr>
              <w:t>)</w:t>
            </w:r>
            <w:r w:rsidRPr="008E0D2D">
              <w:rPr>
                <w:rFonts w:eastAsia="DengXian"/>
              </w:rPr>
              <w:t>.</w:t>
            </w:r>
          </w:p>
          <w:p w:rsidR="00476C4E" w:rsidRDefault="00476C4E" w:rsidP="00D23E01">
            <w:r>
              <w:t>T</w:t>
            </w:r>
            <w:r>
              <w:rPr>
                <w:rFonts w:hint="eastAsia"/>
              </w:rPr>
              <w:t xml:space="preserve">he </w:t>
            </w:r>
            <w:r w:rsidRPr="00A57FB1">
              <w:t>average percentage of uplink symbols</w:t>
            </w:r>
            <w:r>
              <w:rPr>
                <w:rFonts w:hint="eastAsia"/>
              </w:rPr>
              <w:t xml:space="preserve"> is defined as </w:t>
            </w:r>
            <w:r w:rsidRPr="00C81725">
              <w:rPr>
                <w:szCs w:val="21"/>
              </w:rPr>
              <w:t>50</w:t>
            </w:r>
            <w:r w:rsidRPr="00195447">
              <w:rPr>
                <w:szCs w:val="21"/>
              </w:rPr>
              <w:t>%</w:t>
            </w:r>
            <w:r w:rsidRPr="00195447">
              <w:rPr>
                <w:iCs/>
                <w:szCs w:val="21"/>
              </w:rPr>
              <w:t xml:space="preserve"> </w:t>
            </w:r>
            <w:r>
              <w:rPr>
                <w:iCs/>
                <w:szCs w:val="21"/>
              </w:rPr>
              <w:sym w:font="Symbol" w:char="F0B4"/>
            </w:r>
            <w:r w:rsidRPr="00195447">
              <w:rPr>
                <w:iCs/>
                <w:szCs w:val="21"/>
              </w:rPr>
              <w:t xml:space="preserve"> </w:t>
            </w:r>
            <w:r w:rsidRPr="00500562">
              <w:rPr>
                <w:rFonts w:ascii="Arial" w:hAnsi="Arial" w:cs="Arial"/>
                <w:iCs/>
                <w:szCs w:val="21"/>
              </w:rPr>
              <w:t>(</w:t>
            </w:r>
            <w:proofErr w:type="spellStart"/>
            <w:r w:rsidRPr="00500562">
              <w:rPr>
                <w:szCs w:val="21"/>
              </w:rPr>
              <w:t>Duty</w:t>
            </w:r>
            <w:r w:rsidRPr="00500562">
              <w:rPr>
                <w:szCs w:val="21"/>
                <w:vertAlign w:val="subscript"/>
              </w:rPr>
              <w:t>NR</w:t>
            </w:r>
            <w:proofErr w:type="spellEnd"/>
            <w:r w:rsidRPr="00500562">
              <w:rPr>
                <w:szCs w:val="21"/>
                <w:vertAlign w:val="subscript"/>
              </w:rPr>
              <w:t>, x</w:t>
            </w:r>
            <w:r w:rsidRPr="00500562">
              <w:rPr>
                <w:szCs w:val="21"/>
              </w:rPr>
              <w:t xml:space="preserve"> /</w:t>
            </w:r>
            <w:proofErr w:type="spellStart"/>
            <w:proofErr w:type="gramStart"/>
            <w:r w:rsidRPr="00500562">
              <w:rPr>
                <w:szCs w:val="21"/>
              </w:rPr>
              <w:t>maxDuty</w:t>
            </w:r>
            <w:r w:rsidRPr="00500562">
              <w:rPr>
                <w:szCs w:val="21"/>
                <w:vertAlign w:val="subscript"/>
              </w:rPr>
              <w:t>NR,x</w:t>
            </w:r>
            <w:proofErr w:type="spellEnd"/>
            <w:proofErr w:type="gramEnd"/>
            <w:r w:rsidRPr="00500562">
              <w:rPr>
                <w:szCs w:val="21"/>
              </w:rPr>
              <w:t xml:space="preserve"> + </w:t>
            </w:r>
            <w:proofErr w:type="spellStart"/>
            <w:r w:rsidRPr="00500562">
              <w:rPr>
                <w:szCs w:val="21"/>
              </w:rPr>
              <w:t>Duty</w:t>
            </w:r>
            <w:r w:rsidRPr="00500562">
              <w:rPr>
                <w:szCs w:val="21"/>
                <w:vertAlign w:val="subscript"/>
              </w:rPr>
              <w:t>NR</w:t>
            </w:r>
            <w:proofErr w:type="spellEnd"/>
            <w:r w:rsidRPr="00195447">
              <w:rPr>
                <w:szCs w:val="21"/>
                <w:vertAlign w:val="subscript"/>
              </w:rPr>
              <w:t>, y</w:t>
            </w:r>
            <w:r w:rsidRPr="00195447">
              <w:rPr>
                <w:szCs w:val="21"/>
              </w:rPr>
              <w:t xml:space="preserve"> /</w:t>
            </w:r>
            <w:proofErr w:type="spellStart"/>
            <w:r>
              <w:rPr>
                <w:rFonts w:hint="eastAsia"/>
                <w:szCs w:val="21"/>
              </w:rPr>
              <w:t>max</w:t>
            </w:r>
            <w:r w:rsidRPr="00195447">
              <w:rPr>
                <w:szCs w:val="21"/>
              </w:rPr>
              <w:t>Duty</w:t>
            </w:r>
            <w:r w:rsidRPr="00195447">
              <w:rPr>
                <w:szCs w:val="21"/>
                <w:vertAlign w:val="subscript"/>
              </w:rPr>
              <w:t>NR,y</w:t>
            </w:r>
            <w:proofErr w:type="spellEnd"/>
            <w:r w:rsidRPr="00195447">
              <w:rPr>
                <w:szCs w:val="21"/>
                <w:vertAlign w:val="subscript"/>
              </w:rPr>
              <w:t>,</w:t>
            </w:r>
            <w:r w:rsidRPr="00195447">
              <w:rPr>
                <w:szCs w:val="21"/>
              </w:rPr>
              <w:t xml:space="preserve"> )</w:t>
            </w:r>
            <w:r>
              <w:rPr>
                <w:rFonts w:hint="eastAsia"/>
                <w:szCs w:val="21"/>
              </w:rPr>
              <w:t xml:space="preserve">. </w:t>
            </w:r>
            <w:proofErr w:type="spellStart"/>
            <w:r w:rsidRPr="00FE1585">
              <w:t>Duty</w:t>
            </w:r>
            <w:r>
              <w:rPr>
                <w:rFonts w:hint="eastAsia"/>
                <w:vertAlign w:val="subscript"/>
              </w:rPr>
              <w:t>NR</w:t>
            </w:r>
            <w:proofErr w:type="spellEnd"/>
            <w:r>
              <w:rPr>
                <w:rFonts w:hint="eastAsia"/>
                <w:vertAlign w:val="subscript"/>
              </w:rPr>
              <w:t>, x</w:t>
            </w:r>
            <w:r w:rsidRPr="00FE1585">
              <w:t xml:space="preserve">, </w:t>
            </w:r>
            <w:proofErr w:type="spellStart"/>
            <w:r w:rsidRPr="00FE1585">
              <w:t>Duty</w:t>
            </w:r>
            <w:r w:rsidRPr="00FE1585">
              <w:rPr>
                <w:vertAlign w:val="subscript"/>
              </w:rPr>
              <w:t>NR</w:t>
            </w:r>
            <w:proofErr w:type="spellEnd"/>
            <w:r>
              <w:rPr>
                <w:rFonts w:hint="eastAsia"/>
                <w:vertAlign w:val="subscript"/>
              </w:rPr>
              <w:t>, y</w:t>
            </w:r>
            <w:r w:rsidRPr="00FE1585">
              <w:t xml:space="preserve"> represent the </w:t>
            </w:r>
            <w:r>
              <w:rPr>
                <w:rFonts w:hint="eastAsia"/>
              </w:rPr>
              <w:t>actual</w:t>
            </w:r>
            <w:r w:rsidRPr="00FE1585">
              <w:t xml:space="preserve"> percentage of</w:t>
            </w:r>
            <w:r>
              <w:rPr>
                <w:rFonts w:hint="eastAsia"/>
              </w:rPr>
              <w:t xml:space="preserve"> </w:t>
            </w:r>
            <w:r>
              <w:t xml:space="preserve">uplink symbols transmitted </w:t>
            </w:r>
            <w:r w:rsidRPr="008C7C46">
              <w:t xml:space="preserve">in </w:t>
            </w:r>
            <w:r w:rsidRPr="008C7C46">
              <w:rPr>
                <w:rFonts w:hint="eastAsia"/>
              </w:rPr>
              <w:t>the</w:t>
            </w:r>
            <w:r w:rsidRPr="008C7C46">
              <w:t xml:space="preserve"> </w:t>
            </w:r>
            <w:r w:rsidRPr="008C7C46">
              <w:rPr>
                <w:rFonts w:hint="eastAsia"/>
              </w:rPr>
              <w:t>sam</w:t>
            </w:r>
            <w:r>
              <w:rPr>
                <w:rFonts w:hint="eastAsia"/>
              </w:rPr>
              <w:t xml:space="preserve">e </w:t>
            </w:r>
            <w:r>
              <w:t>evaluation period</w:t>
            </w:r>
            <w:r>
              <w:rPr>
                <w:rFonts w:hint="eastAsia"/>
              </w:rPr>
              <w:t xml:space="preserve"> </w:t>
            </w:r>
            <w:r>
              <w:t>(The exact evaluation period is no less than one radio frame)</w:t>
            </w:r>
            <w:r>
              <w:rPr>
                <w:rFonts w:hint="eastAsia"/>
              </w:rPr>
              <w:t xml:space="preserve"> for NR Band x</w:t>
            </w:r>
            <w:r w:rsidRPr="00FE1585">
              <w:t xml:space="preserve">, NR </w:t>
            </w:r>
            <w:r>
              <w:rPr>
                <w:rFonts w:hint="eastAsia"/>
              </w:rPr>
              <w:t xml:space="preserve">Band y </w:t>
            </w:r>
            <w:r w:rsidRPr="00FE1585">
              <w:t>respectively</w:t>
            </w:r>
            <w:r>
              <w:rPr>
                <w:rFonts w:hint="eastAsia"/>
              </w:rPr>
              <w:t xml:space="preserve">; </w:t>
            </w:r>
            <w:proofErr w:type="spellStart"/>
            <w:proofErr w:type="gramStart"/>
            <w:r w:rsidRPr="006A0756">
              <w:rPr>
                <w:rFonts w:hint="eastAsia"/>
                <w:color w:val="C00000"/>
              </w:rPr>
              <w:t>max</w:t>
            </w:r>
            <w:r w:rsidRPr="006A0756">
              <w:rPr>
                <w:color w:val="C00000"/>
                <w:szCs w:val="21"/>
              </w:rPr>
              <w:t>Duty</w:t>
            </w:r>
            <w:r w:rsidRPr="006A0756">
              <w:rPr>
                <w:color w:val="C00000"/>
                <w:szCs w:val="21"/>
                <w:vertAlign w:val="subscript"/>
              </w:rPr>
              <w:t>NR,x</w:t>
            </w:r>
            <w:proofErr w:type="spellEnd"/>
            <w:proofErr w:type="gramEnd"/>
            <w:r w:rsidRPr="006A0756">
              <w:rPr>
                <w:rFonts w:hint="eastAsia"/>
                <w:color w:val="C00000"/>
                <w:szCs w:val="21"/>
              </w:rPr>
              <w:t>,</w:t>
            </w:r>
            <w:r w:rsidRPr="006A0756">
              <w:rPr>
                <w:rFonts w:hint="eastAsia"/>
                <w:color w:val="C00000"/>
                <w:szCs w:val="21"/>
                <w:vertAlign w:val="subscript"/>
              </w:rPr>
              <w:t xml:space="preserve"> </w:t>
            </w:r>
            <w:r w:rsidRPr="006A0756">
              <w:rPr>
                <w:color w:val="C00000"/>
              </w:rPr>
              <w:t>represent</w:t>
            </w:r>
            <w:r w:rsidRPr="006A0756">
              <w:rPr>
                <w:rFonts w:hint="eastAsia"/>
                <w:color w:val="C00000"/>
              </w:rPr>
              <w:t xml:space="preserve"> the field of UE capability</w:t>
            </w:r>
            <w:r w:rsidRPr="006A0756">
              <w:rPr>
                <w:i/>
                <w:color w:val="C00000"/>
              </w:rPr>
              <w:t xml:space="preserve"> maxUplinkDutyCycle-PC1dot5-MPE-FR1</w:t>
            </w:r>
            <w:r w:rsidRPr="006A0756">
              <w:rPr>
                <w:color w:val="C00000"/>
              </w:rPr>
              <w:t xml:space="preserve"> as defined in TS 38.306, if UE supports power class 1.5</w:t>
            </w:r>
            <w:r>
              <w:rPr>
                <w:rFonts w:hint="eastAsia"/>
              </w:rPr>
              <w:t xml:space="preserve">. </w:t>
            </w:r>
            <w:proofErr w:type="spellStart"/>
            <w:proofErr w:type="gramStart"/>
            <w:r>
              <w:rPr>
                <w:rFonts w:hint="eastAsia"/>
              </w:rPr>
              <w:t>max</w:t>
            </w:r>
            <w:r w:rsidRPr="00195447">
              <w:rPr>
                <w:szCs w:val="21"/>
              </w:rPr>
              <w:t>Duty</w:t>
            </w:r>
            <w:r w:rsidRPr="00195447">
              <w:rPr>
                <w:szCs w:val="21"/>
                <w:vertAlign w:val="subscript"/>
              </w:rPr>
              <w:t>NR,x</w:t>
            </w:r>
            <w:proofErr w:type="spellEnd"/>
            <w:proofErr w:type="gramEnd"/>
            <w:r>
              <w:rPr>
                <w:rFonts w:hint="eastAsia"/>
                <w:szCs w:val="21"/>
              </w:rPr>
              <w:t>,</w:t>
            </w:r>
            <w:r>
              <w:rPr>
                <w:rFonts w:hint="eastAsia"/>
                <w:szCs w:val="21"/>
                <w:vertAlign w:val="subscript"/>
              </w:rPr>
              <w:t xml:space="preserve"> </w:t>
            </w:r>
            <w:proofErr w:type="spellStart"/>
            <w:r w:rsidRPr="00195447">
              <w:rPr>
                <w:rFonts w:hint="eastAsia"/>
                <w:szCs w:val="21"/>
              </w:rPr>
              <w:t>max</w:t>
            </w:r>
            <w:r w:rsidRPr="00195447">
              <w:rPr>
                <w:szCs w:val="21"/>
              </w:rPr>
              <w:t>Duty</w:t>
            </w:r>
            <w:r w:rsidRPr="00195447">
              <w:rPr>
                <w:szCs w:val="21"/>
                <w:vertAlign w:val="subscript"/>
              </w:rPr>
              <w:t>NR,</w:t>
            </w:r>
            <w:r>
              <w:rPr>
                <w:rFonts w:hint="eastAsia"/>
                <w:szCs w:val="21"/>
                <w:vertAlign w:val="subscript"/>
              </w:rPr>
              <w:t>y</w:t>
            </w:r>
            <w:proofErr w:type="spellEnd"/>
            <w:r>
              <w:rPr>
                <w:rFonts w:hint="eastAsia"/>
                <w:szCs w:val="21"/>
                <w:vertAlign w:val="subscript"/>
              </w:rPr>
              <w:t xml:space="preserve"> </w:t>
            </w:r>
            <w:r w:rsidRPr="00FE1585">
              <w:t>represent</w:t>
            </w:r>
            <w:r>
              <w:rPr>
                <w:rFonts w:hint="eastAsia"/>
              </w:rPr>
              <w:t xml:space="preserve"> the field of UE capability</w:t>
            </w:r>
            <w:r w:rsidRPr="00A1115A">
              <w:rPr>
                <w:i/>
              </w:rPr>
              <w:t xml:space="preserve"> maxUplinkDutyCycle-PC2-FR1</w:t>
            </w:r>
            <w:r>
              <w:rPr>
                <w:color w:val="C00000"/>
              </w:rPr>
              <w:t xml:space="preserve"> </w:t>
            </w:r>
            <w:r>
              <w:rPr>
                <w:rFonts w:hint="eastAsia"/>
              </w:rPr>
              <w:t xml:space="preserve">per band </w:t>
            </w:r>
            <w:r w:rsidRPr="00A1115A">
              <w:t>as defined in TS 38.</w:t>
            </w:r>
            <w:r>
              <w:t xml:space="preserve">306, </w:t>
            </w:r>
            <w:r>
              <w:rPr>
                <w:color w:val="C00000"/>
              </w:rPr>
              <w:t>otherwise</w:t>
            </w:r>
            <w:r>
              <w:rPr>
                <w:rFonts w:hint="eastAsia"/>
              </w:rPr>
              <w:t xml:space="preserve">. For NR Band x or NR Band y, </w:t>
            </w:r>
          </w:p>
          <w:p w:rsidR="00476C4E" w:rsidRPr="00FD6D89" w:rsidRDefault="00476C4E" w:rsidP="00D23E01">
            <w:pPr>
              <w:pStyle w:val="B1"/>
              <w:spacing w:after="0"/>
              <w:rPr>
                <w:color w:val="C00000"/>
              </w:rPr>
            </w:pPr>
            <w:r w:rsidRPr="00FD6D89">
              <w:rPr>
                <w:color w:val="C00000"/>
              </w:rPr>
              <w:t>–</w:t>
            </w:r>
            <w:r w:rsidRPr="00FD6D89">
              <w:rPr>
                <w:color w:val="C00000"/>
              </w:rPr>
              <w:tab/>
            </w:r>
            <w:r w:rsidRPr="00FD6D89">
              <w:rPr>
                <w:rFonts w:hint="eastAsia"/>
                <w:color w:val="C00000"/>
              </w:rPr>
              <w:t xml:space="preserve">if </w:t>
            </w:r>
            <w:r>
              <w:rPr>
                <w:color w:val="C00000"/>
              </w:rPr>
              <w:t xml:space="preserve">power class of </w:t>
            </w:r>
            <w:r w:rsidRPr="00FD6D89">
              <w:rPr>
                <w:rFonts w:hint="eastAsia"/>
                <w:color w:val="C00000"/>
              </w:rPr>
              <w:t>band</w:t>
            </w:r>
            <w:r w:rsidRPr="00FD6D89">
              <w:rPr>
                <w:color w:val="C00000"/>
              </w:rPr>
              <w:t xml:space="preserve"> </w:t>
            </w:r>
            <w:r>
              <w:rPr>
                <w:color w:val="C00000"/>
              </w:rPr>
              <w:t>x i</w:t>
            </w:r>
            <w:r w:rsidRPr="00FD6D89">
              <w:rPr>
                <w:color w:val="C00000"/>
              </w:rPr>
              <w:t xml:space="preserve">n the band combination is </w:t>
            </w:r>
            <w:r w:rsidRPr="00FD6D89">
              <w:rPr>
                <w:rFonts w:hint="eastAsia"/>
                <w:color w:val="C00000"/>
              </w:rPr>
              <w:t xml:space="preserve">power class </w:t>
            </w:r>
            <w:r>
              <w:rPr>
                <w:color w:val="C00000"/>
              </w:rPr>
              <w:t>1.5</w:t>
            </w:r>
            <w:r w:rsidRPr="00FD6D89">
              <w:rPr>
                <w:rFonts w:hint="eastAsia"/>
                <w:color w:val="C00000"/>
              </w:rPr>
              <w:t xml:space="preserve"> and the corresponding UE capability</w:t>
            </w:r>
            <w:r w:rsidRPr="00FD6D89">
              <w:rPr>
                <w:color w:val="C00000"/>
              </w:rPr>
              <w:t xml:space="preserve"> </w:t>
            </w:r>
            <w:r w:rsidRPr="00CE7EF8">
              <w:rPr>
                <w:i/>
                <w:color w:val="C00000"/>
              </w:rPr>
              <w:t>maxUplinkDutyCycle-PC1dot5-MPE-FR1</w:t>
            </w:r>
            <w:r w:rsidRPr="00FD6D89">
              <w:rPr>
                <w:color w:val="C00000"/>
              </w:rPr>
              <w:t xml:space="preserve"> </w:t>
            </w:r>
            <w:r w:rsidRPr="00FD6D89">
              <w:rPr>
                <w:rFonts w:hint="eastAsia"/>
                <w:color w:val="C00000"/>
              </w:rPr>
              <w:t>is absent;</w:t>
            </w:r>
          </w:p>
          <w:p w:rsidR="00476C4E" w:rsidRDefault="00476C4E" w:rsidP="00D23E01">
            <w:pPr>
              <w:pStyle w:val="B2"/>
              <w:spacing w:after="0"/>
              <w:rPr>
                <w:color w:val="C00000"/>
              </w:rPr>
            </w:pPr>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FD6D89">
              <w:rPr>
                <w:color w:val="C00000"/>
              </w:rPr>
              <w:t>NR,x</w:t>
            </w:r>
            <w:proofErr w:type="spellEnd"/>
            <w:proofErr w:type="gramEnd"/>
            <w:r w:rsidRPr="00FD6D89">
              <w:rPr>
                <w:color w:val="C00000"/>
              </w:rPr>
              <w:t xml:space="preserve"> </w:t>
            </w:r>
            <w:r w:rsidRPr="00FD6D89">
              <w:rPr>
                <w:rFonts w:hint="eastAsia"/>
                <w:color w:val="C00000"/>
              </w:rPr>
              <w:t xml:space="preserve">is equal to </w:t>
            </w:r>
            <w:r w:rsidRPr="00A66DF3">
              <w:rPr>
                <w:i/>
                <w:color w:val="C00000"/>
                <w:lang w:val="en-US"/>
              </w:rPr>
              <w:t>0.5*maxUplinkDutyCycle-PC2-FR1</w:t>
            </w:r>
          </w:p>
          <w:p w:rsidR="00476C4E" w:rsidRDefault="00476C4E" w:rsidP="00D23E01">
            <w:pPr>
              <w:pStyle w:val="B2"/>
              <w:spacing w:after="0"/>
              <w:ind w:left="567"/>
              <w:rPr>
                <w:color w:val="C00000"/>
              </w:rPr>
            </w:pPr>
            <w:r w:rsidRPr="00FD6D89">
              <w:rPr>
                <w:color w:val="C00000"/>
              </w:rPr>
              <w:t>–</w:t>
            </w:r>
            <w:r w:rsidRPr="00FD6D89">
              <w:rPr>
                <w:color w:val="C00000"/>
              </w:rPr>
              <w:tab/>
            </w:r>
            <w:r>
              <w:rPr>
                <w:color w:val="C00000"/>
              </w:rPr>
              <w:t xml:space="preserve">else if </w:t>
            </w:r>
            <w:r w:rsidRPr="00FD6D89">
              <w:rPr>
                <w:rFonts w:hint="eastAsia"/>
                <w:color w:val="C00000"/>
              </w:rPr>
              <w:t>the corresponding UE capability</w:t>
            </w:r>
            <w:r w:rsidRPr="00FD6D89">
              <w:rPr>
                <w:color w:val="C00000"/>
              </w:rPr>
              <w:t xml:space="preserve"> </w:t>
            </w:r>
            <w:r w:rsidRPr="00A66DF3">
              <w:rPr>
                <w:i/>
                <w:color w:val="C00000"/>
                <w:lang w:val="en-US"/>
              </w:rPr>
              <w:t>maxUplinkDutyCycle-PC2-FR1</w:t>
            </w:r>
            <w:r>
              <w:rPr>
                <w:color w:val="C00000"/>
              </w:rPr>
              <w:t xml:space="preserve"> is absent;</w:t>
            </w:r>
          </w:p>
          <w:p w:rsidR="00476C4E" w:rsidRDefault="00476C4E" w:rsidP="00D23E01">
            <w:pPr>
              <w:pStyle w:val="B2"/>
              <w:spacing w:after="0"/>
              <w:ind w:left="567" w:hanging="11"/>
            </w:pPr>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FD6D89">
              <w:rPr>
                <w:color w:val="C00000"/>
              </w:rPr>
              <w:t>NR,x</w:t>
            </w:r>
            <w:proofErr w:type="spellEnd"/>
            <w:proofErr w:type="gramEnd"/>
            <w:r w:rsidRPr="00FD6D89">
              <w:rPr>
                <w:color w:val="C00000"/>
              </w:rPr>
              <w:t xml:space="preserve"> </w:t>
            </w:r>
            <w:r w:rsidRPr="00FD6D89">
              <w:rPr>
                <w:rFonts w:hint="eastAsia"/>
                <w:color w:val="C00000"/>
              </w:rPr>
              <w:t xml:space="preserve">is equal to </w:t>
            </w:r>
            <w:r>
              <w:rPr>
                <w:color w:val="C00000"/>
              </w:rPr>
              <w:t>25</w:t>
            </w:r>
            <w:r w:rsidRPr="00FD6D89">
              <w:rPr>
                <w:rFonts w:hint="eastAsia"/>
                <w:color w:val="C00000"/>
              </w:rPr>
              <w:t>%;</w:t>
            </w:r>
          </w:p>
          <w:p w:rsidR="00476C4E" w:rsidRPr="0009278B" w:rsidRDefault="00476C4E" w:rsidP="00D23E01">
            <w:pPr>
              <w:pStyle w:val="B1"/>
              <w:spacing w:after="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rsidR="00476C4E" w:rsidRPr="0009278B" w:rsidRDefault="00476C4E" w:rsidP="00D23E01">
            <w:pPr>
              <w:pStyle w:val="B2"/>
              <w:spacing w:after="0"/>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rsidR="00476C4E" w:rsidRPr="0009278B" w:rsidRDefault="00476C4E" w:rsidP="00D23E01">
            <w:pPr>
              <w:pStyle w:val="B1"/>
              <w:spacing w:after="0"/>
            </w:pPr>
            <w:r w:rsidRPr="00E062F1">
              <w:t>–</w:t>
            </w:r>
            <w:r w:rsidRPr="00E062F1">
              <w:tab/>
            </w:r>
            <w:r w:rsidRPr="008C7C46">
              <w:rPr>
                <w:rFonts w:hint="eastAsia"/>
                <w:lang w:eastAsia="zh-CN"/>
              </w:rPr>
              <w:t>else if the band is configured with power class 3;</w:t>
            </w:r>
          </w:p>
          <w:p w:rsidR="00476C4E" w:rsidRDefault="00476C4E" w:rsidP="00D23E01">
            <w:pPr>
              <w:pStyle w:val="B2"/>
              <w:snapToGrid w:val="0"/>
              <w:spacing w:after="120"/>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tc>
      </w:tr>
    </w:tbl>
    <w:p w:rsidR="00476C4E" w:rsidRDefault="00476C4E" w:rsidP="00476C4E">
      <w:pPr>
        <w:spacing w:after="120"/>
      </w:pPr>
    </w:p>
    <w:p w:rsidR="00476C4E" w:rsidRDefault="00476C4E" w:rsidP="00476C4E">
      <w:pPr>
        <w:snapToGrid w:val="0"/>
        <w:spacing w:after="120"/>
      </w:pPr>
      <w:r>
        <w:t>With this example, the SAR solution to inter-band CA in PC2 and PC1.5 can be unified to one, based on the current structure of the SAR solution to PC2 without the differentiation of duplex mode of the two bands in one band combination. The SAR solutions specified for PC1.5 inter-band CA with 2Tx can be applied to that with 3Tx.</w:t>
      </w:r>
    </w:p>
    <w:p w:rsidR="00476C4E" w:rsidRPr="00DC3373" w:rsidRDefault="002108A1" w:rsidP="00476C4E">
      <w:pPr>
        <w:pStyle w:val="Caption"/>
        <w:snapToGrid w:val="0"/>
      </w:pPr>
      <w:bookmarkStart w:id="4" w:name="_Ref162548273"/>
      <w:r>
        <w:t>Proposal</w:t>
      </w:r>
      <w:r w:rsidR="00476C4E">
        <w:t xml:space="preserve"> </w:t>
      </w:r>
      <w:r w:rsidR="00172372">
        <w:t>3</w:t>
      </w:r>
      <w:r w:rsidR="00476C4E" w:rsidRPr="00DC3373">
        <w:t xml:space="preserve">: The </w:t>
      </w:r>
      <w:r w:rsidR="00476C4E">
        <w:t>duty-cycle based S</w:t>
      </w:r>
      <w:r w:rsidR="00476C4E" w:rsidRPr="00DC3373">
        <w:t xml:space="preserve">AR solution </w:t>
      </w:r>
      <w:r w:rsidR="00476C4E">
        <w:t>for</w:t>
      </w:r>
      <w:r w:rsidR="00476C4E" w:rsidRPr="00DC3373">
        <w:t xml:space="preserve"> int</w:t>
      </w:r>
      <w:r w:rsidR="00172372">
        <w:t>e</w:t>
      </w:r>
      <w:r w:rsidR="00476C4E" w:rsidRPr="00DC3373">
        <w:t xml:space="preserve">r-band CA in PC2 and PC1.5 can be unified based on the current structure of the SAR solution </w:t>
      </w:r>
      <w:r w:rsidR="00476C4E">
        <w:t>for</w:t>
      </w:r>
      <w:r w:rsidR="00476C4E" w:rsidRPr="00DC3373">
        <w:t xml:space="preserve"> PC2 without</w:t>
      </w:r>
      <w:r w:rsidR="00476C4E" w:rsidRPr="00A635A5">
        <w:t xml:space="preserve"> </w:t>
      </w:r>
      <w:r w:rsidR="00476C4E" w:rsidRPr="00DC3373">
        <w:t>differentiation of duplex mode.</w:t>
      </w:r>
      <w:r w:rsidR="00476C4E" w:rsidRPr="00A635A5">
        <w:t xml:space="preserve"> </w:t>
      </w:r>
      <w:r w:rsidR="00476C4E" w:rsidRPr="00DC3373">
        <w:t xml:space="preserve">The SAR solutions specified for PC1.5 inter-band CA with 2Tx can be </w:t>
      </w:r>
      <w:r w:rsidR="00476C4E">
        <w:t>unified with</w:t>
      </w:r>
      <w:r w:rsidR="00476C4E" w:rsidRPr="00DC3373">
        <w:t xml:space="preserve"> that </w:t>
      </w:r>
      <w:r w:rsidR="00476C4E">
        <w:t>for</w:t>
      </w:r>
      <w:r w:rsidR="00476C4E" w:rsidRPr="00DC3373">
        <w:t xml:space="preserve"> 3Tx.</w:t>
      </w:r>
      <w:bookmarkEnd w:id="4"/>
    </w:p>
    <w:p w:rsidR="00476C4E" w:rsidRPr="009C631A" w:rsidRDefault="00476C4E" w:rsidP="00476C4E">
      <w:pPr>
        <w:widowControl w:val="0"/>
        <w:overflowPunct/>
        <w:autoSpaceDE/>
        <w:autoSpaceDN/>
        <w:adjustRightInd/>
        <w:snapToGrid w:val="0"/>
        <w:spacing w:before="120" w:after="120"/>
        <w:jc w:val="both"/>
        <w:textAlignment w:val="auto"/>
        <w:rPr>
          <w:kern w:val="2"/>
          <w:sz w:val="21"/>
          <w:szCs w:val="22"/>
          <w:lang w:eastAsia="zh-CN"/>
        </w:rPr>
      </w:pPr>
      <w:r w:rsidRPr="009C631A">
        <w:rPr>
          <w:lang w:eastAsia="zh-CN"/>
        </w:rPr>
        <w:t>For inter-band EN-DC, we listed the scenarios for high power UE that have been supported in the previous release and included in Rel-19 scope.</w:t>
      </w:r>
    </w:p>
    <w:p w:rsidR="00476C4E" w:rsidRPr="009C631A" w:rsidRDefault="00476C4E" w:rsidP="00476C4E">
      <w:pPr>
        <w:keepNext/>
        <w:keepLines/>
        <w:overflowPunct/>
        <w:autoSpaceDE/>
        <w:autoSpaceDN/>
        <w:adjustRightInd/>
        <w:snapToGrid w:val="0"/>
        <w:spacing w:before="120" w:after="60"/>
        <w:jc w:val="center"/>
        <w:textAlignment w:val="auto"/>
        <w:rPr>
          <w:rFonts w:eastAsia="MS Mincho"/>
          <w:b/>
          <w:lang w:val="en-US" w:eastAsia="en-US"/>
        </w:rPr>
      </w:pPr>
      <w:bookmarkStart w:id="5" w:name="_Ref162543438"/>
      <w:r w:rsidRPr="009C631A">
        <w:rPr>
          <w:rFonts w:eastAsia="MS Mincho"/>
          <w:b/>
          <w:lang w:eastAsia="en-US"/>
        </w:rPr>
        <w:t xml:space="preserve">Table </w:t>
      </w:r>
      <w:bookmarkEnd w:id="5"/>
      <w:r w:rsidR="0026630E">
        <w:rPr>
          <w:rFonts w:eastAsia="MS Mincho"/>
          <w:b/>
          <w:lang w:eastAsia="en-US"/>
        </w:rPr>
        <w:t>2</w:t>
      </w:r>
      <w:r w:rsidRPr="009C631A">
        <w:rPr>
          <w:rFonts w:eastAsia="MS Mincho"/>
          <w:b/>
          <w:lang w:eastAsia="en-US"/>
        </w:rPr>
        <w:t xml:space="preserve"> Scenarios for inter-band EN-DC high power UE that have been supported in the previous release and included in Rel-19 scope </w:t>
      </w:r>
    </w:p>
    <w:tbl>
      <w:tblPr>
        <w:tblStyle w:val="1"/>
        <w:tblW w:w="5000" w:type="pct"/>
        <w:jc w:val="center"/>
        <w:tblLook w:val="04A0" w:firstRow="1" w:lastRow="0" w:firstColumn="1" w:lastColumn="0" w:noHBand="0" w:noVBand="1"/>
      </w:tblPr>
      <w:tblGrid>
        <w:gridCol w:w="1086"/>
        <w:gridCol w:w="564"/>
        <w:gridCol w:w="1370"/>
        <w:gridCol w:w="1179"/>
        <w:gridCol w:w="1130"/>
        <w:gridCol w:w="1130"/>
        <w:gridCol w:w="1130"/>
        <w:gridCol w:w="1130"/>
        <w:gridCol w:w="1126"/>
      </w:tblGrid>
      <w:tr w:rsidR="00476C4E" w:rsidRPr="009C631A" w:rsidTr="00D23E01">
        <w:trPr>
          <w:jc w:val="center"/>
        </w:trPr>
        <w:tc>
          <w:tcPr>
            <w:tcW w:w="1533" w:type="pct"/>
            <w:gridSpan w:val="3"/>
            <w:vMerge w:val="restart"/>
            <w:tcBorders>
              <w:top w:val="single" w:sz="8" w:space="0" w:color="auto"/>
              <w:left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1747" w:type="pct"/>
            <w:gridSpan w:val="3"/>
            <w:tcBorders>
              <w:top w:val="single" w:sz="8" w:space="0" w:color="auto"/>
              <w:left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PC2</w:t>
            </w:r>
          </w:p>
        </w:tc>
        <w:tc>
          <w:tcPr>
            <w:tcW w:w="1721" w:type="pct"/>
            <w:gridSpan w:val="3"/>
            <w:tcBorders>
              <w:top w:val="single" w:sz="8" w:space="0" w:color="auto"/>
              <w:left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color w:val="000000"/>
                <w:kern w:val="2"/>
                <w:sz w:val="18"/>
                <w:szCs w:val="18"/>
                <w:lang w:val="en-US" w:eastAsia="zh-CN"/>
              </w:rPr>
              <w:t>PC1.5</w:t>
            </w:r>
          </w:p>
        </w:tc>
      </w:tr>
      <w:tr w:rsidR="00476C4E" w:rsidRPr="009C631A" w:rsidTr="00D23E01">
        <w:trPr>
          <w:jc w:val="center"/>
        </w:trPr>
        <w:tc>
          <w:tcPr>
            <w:tcW w:w="1533" w:type="pct"/>
            <w:gridSpan w:val="3"/>
            <w:vMerge/>
            <w:tcBorders>
              <w:left w:val="single" w:sz="8" w:space="0" w:color="auto"/>
              <w:bottom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99" w:type="pct"/>
            <w:tcBorders>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TDD</w:t>
            </w:r>
          </w:p>
        </w:tc>
        <w:tc>
          <w:tcPr>
            <w:tcW w:w="574" w:type="pct"/>
            <w:tcBorders>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TDD + TDD</w:t>
            </w:r>
          </w:p>
        </w:tc>
        <w:tc>
          <w:tcPr>
            <w:tcW w:w="574" w:type="pct"/>
            <w:tcBorders>
              <w:bottom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FDD</w:t>
            </w:r>
          </w:p>
        </w:tc>
        <w:tc>
          <w:tcPr>
            <w:tcW w:w="574" w:type="pct"/>
            <w:tcBorders>
              <w:left w:val="single" w:sz="8" w:space="0" w:color="auto"/>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TDD</w:t>
            </w:r>
          </w:p>
        </w:tc>
        <w:tc>
          <w:tcPr>
            <w:tcW w:w="574" w:type="pct"/>
            <w:tcBorders>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TDD + TDD</w:t>
            </w:r>
          </w:p>
        </w:tc>
        <w:tc>
          <w:tcPr>
            <w:tcW w:w="573" w:type="pct"/>
            <w:tcBorders>
              <w:bottom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FDD</w:t>
            </w:r>
          </w:p>
        </w:tc>
      </w:tr>
      <w:tr w:rsidR="00476C4E" w:rsidRPr="009C631A" w:rsidTr="00D23E01">
        <w:trPr>
          <w:jc w:val="center"/>
        </w:trPr>
        <w:tc>
          <w:tcPr>
            <w:tcW w:w="551" w:type="pct"/>
            <w:vMerge w:val="restart"/>
            <w:tcBorders>
              <w:top w:val="single" w:sz="8" w:space="0" w:color="auto"/>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Inter-band EN-DC</w:t>
            </w:r>
          </w:p>
        </w:tc>
        <w:tc>
          <w:tcPr>
            <w:tcW w:w="286" w:type="pct"/>
            <w:vMerge w:val="restart"/>
            <w:tcBorders>
              <w:top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2Tx</w:t>
            </w:r>
          </w:p>
        </w:tc>
        <w:tc>
          <w:tcPr>
            <w:tcW w:w="696" w:type="pct"/>
            <w:tcBorders>
              <w:top w:val="single" w:sz="8" w:space="0" w:color="auto"/>
              <w:right w:val="single" w:sz="8" w:space="0" w:color="auto"/>
            </w:tcBorders>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Support</w:t>
            </w:r>
          </w:p>
        </w:tc>
        <w:tc>
          <w:tcPr>
            <w:tcW w:w="599" w:type="pct"/>
            <w:tcBorders>
              <w:top w:val="single" w:sz="8" w:space="0" w:color="auto"/>
              <w:left w:val="single" w:sz="8" w:space="0" w:color="auto"/>
            </w:tcBorders>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+ 26</w:t>
            </w:r>
          </w:p>
          <w:p w:rsidR="00476C4E" w:rsidRPr="009C631A" w:rsidRDefault="00476C4E" w:rsidP="0026630E">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+ 23</w:t>
            </w:r>
          </w:p>
        </w:tc>
        <w:tc>
          <w:tcPr>
            <w:tcW w:w="574" w:type="pct"/>
            <w:tcBorders>
              <w:top w:val="single" w:sz="8" w:space="0" w:color="auto"/>
            </w:tcBorders>
            <w:shd w:val="clear" w:color="auto" w:fill="92D050"/>
            <w:vAlign w:val="center"/>
          </w:tcPr>
          <w:p w:rsidR="00476C4E" w:rsidRPr="009C631A" w:rsidRDefault="00476C4E">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+ 23</w:t>
            </w:r>
          </w:p>
        </w:tc>
        <w:tc>
          <w:tcPr>
            <w:tcW w:w="574" w:type="pct"/>
            <w:tcBorders>
              <w:top w:val="single" w:sz="8" w:space="0" w:color="auto"/>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top w:val="single" w:sz="8" w:space="0" w:color="auto"/>
              <w:lef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top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top w:val="single" w:sz="8" w:space="0" w:color="auto"/>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r>
      <w:tr w:rsidR="00476C4E" w:rsidRPr="009C631A" w:rsidTr="00D23E01">
        <w:trPr>
          <w:jc w:val="center"/>
        </w:trPr>
        <w:tc>
          <w:tcPr>
            <w:tcW w:w="551" w:type="pct"/>
            <w:vMerge/>
            <w:tcBorders>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696" w:type="pct"/>
            <w:tcBorders>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 xml:space="preserve">Included in current </w:t>
            </w:r>
          </w:p>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Rel-19 scope</w:t>
            </w:r>
          </w:p>
        </w:tc>
        <w:tc>
          <w:tcPr>
            <w:tcW w:w="599" w:type="pct"/>
            <w:tcBorders>
              <w:lef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p>
        </w:tc>
        <w:tc>
          <w:tcPr>
            <w:tcW w:w="574" w:type="pct"/>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p>
        </w:tc>
        <w:tc>
          <w:tcPr>
            <w:tcW w:w="574" w:type="pct"/>
            <w:tcBorders>
              <w:right w:val="single" w:sz="8" w:space="0" w:color="auto"/>
            </w:tcBorders>
            <w:shd w:val="clear" w:color="auto" w:fill="FFC000"/>
            <w:vAlign w:val="center"/>
          </w:tcPr>
          <w:p w:rsidR="00476C4E" w:rsidRPr="009C631A" w:rsidRDefault="00476C4E" w:rsidP="0026630E">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23 + 23</w:t>
            </w:r>
          </w:p>
        </w:tc>
        <w:tc>
          <w:tcPr>
            <w:tcW w:w="574" w:type="pct"/>
            <w:tcBorders>
              <w:lef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p>
        </w:tc>
        <w:tc>
          <w:tcPr>
            <w:tcW w:w="574" w:type="pct"/>
            <w:shd w:val="clear" w:color="auto" w:fill="FFC000"/>
            <w:vAlign w:val="center"/>
          </w:tcPr>
          <w:p w:rsidR="00476C4E" w:rsidRPr="009C631A" w:rsidRDefault="00476C4E" w:rsidP="0026630E">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26 + 26</w:t>
            </w:r>
          </w:p>
        </w:tc>
        <w:tc>
          <w:tcPr>
            <w:tcW w:w="573" w:type="pct"/>
            <w:tcBorders>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808080"/>
                <w:kern w:val="2"/>
                <w:sz w:val="18"/>
                <w:szCs w:val="18"/>
                <w:lang w:val="en-US" w:eastAsia="zh-CN"/>
              </w:rPr>
            </w:pPr>
          </w:p>
        </w:tc>
      </w:tr>
      <w:tr w:rsidR="00476C4E" w:rsidRPr="009C631A" w:rsidTr="00D23E01">
        <w:trPr>
          <w:jc w:val="center"/>
        </w:trPr>
        <w:tc>
          <w:tcPr>
            <w:tcW w:w="551" w:type="pct"/>
            <w:vMerge/>
            <w:tcBorders>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val="restart"/>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3Tx</w:t>
            </w:r>
          </w:p>
        </w:tc>
        <w:tc>
          <w:tcPr>
            <w:tcW w:w="696" w:type="pct"/>
            <w:tcBorders>
              <w:right w:val="single" w:sz="8" w:space="0" w:color="auto"/>
            </w:tcBorders>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Support</w:t>
            </w:r>
          </w:p>
        </w:tc>
        <w:tc>
          <w:tcPr>
            <w:tcW w:w="599" w:type="pct"/>
            <w:tcBorders>
              <w:left w:val="single" w:sz="8" w:space="0" w:color="auto"/>
            </w:tcBorders>
            <w:shd w:val="clear" w:color="auto" w:fill="92D050"/>
            <w:vAlign w:val="center"/>
          </w:tcPr>
          <w:p w:rsidR="00476C4E" w:rsidRPr="009C631A" w:rsidRDefault="00476C4E" w:rsidP="0026630E">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23 + 26</w:t>
            </w:r>
          </w:p>
        </w:tc>
        <w:tc>
          <w:tcPr>
            <w:tcW w:w="574" w:type="pct"/>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23 + 23</w:t>
            </w:r>
          </w:p>
          <w:p w:rsidR="00476C4E" w:rsidRPr="009C631A" w:rsidRDefault="00476C4E" w:rsidP="0026630E">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 xml:space="preserve">23 + 26 </w:t>
            </w:r>
          </w:p>
        </w:tc>
        <w:tc>
          <w:tcPr>
            <w:tcW w:w="574" w:type="pct"/>
            <w:tcBorders>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c>
          <w:tcPr>
            <w:tcW w:w="574" w:type="pct"/>
            <w:tcBorders>
              <w:lef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r>
      <w:tr w:rsidR="00476C4E" w:rsidRPr="009C631A" w:rsidTr="00D23E01">
        <w:trPr>
          <w:jc w:val="center"/>
        </w:trPr>
        <w:tc>
          <w:tcPr>
            <w:tcW w:w="551" w:type="pct"/>
            <w:vMerge/>
            <w:tcBorders>
              <w:left w:val="single" w:sz="8" w:space="0" w:color="auto"/>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tcBorders>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696" w:type="pct"/>
            <w:tcBorders>
              <w:bottom w:val="single" w:sz="8" w:space="0" w:color="auto"/>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 xml:space="preserve">Included in current </w:t>
            </w:r>
          </w:p>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color w:val="0D0D0D"/>
                <w:kern w:val="2"/>
                <w:sz w:val="18"/>
                <w:szCs w:val="18"/>
                <w:lang w:val="en-US" w:eastAsia="zh-CN"/>
              </w:rPr>
              <w:t>Rel-19 scope</w:t>
            </w:r>
          </w:p>
        </w:tc>
        <w:tc>
          <w:tcPr>
            <w:tcW w:w="599" w:type="pct"/>
            <w:tcBorders>
              <w:left w:val="single" w:sz="8" w:space="0" w:color="auto"/>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c>
          <w:tcPr>
            <w:tcW w:w="574" w:type="pct"/>
            <w:tcBorders>
              <w:left w:val="single" w:sz="8" w:space="0" w:color="auto"/>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bottom w:val="single" w:sz="8" w:space="0" w:color="auto"/>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r>
    </w:tbl>
    <w:p w:rsidR="00476C4E" w:rsidRPr="009C631A" w:rsidRDefault="00476C4E" w:rsidP="00476C4E">
      <w:pPr>
        <w:widowControl w:val="0"/>
        <w:overflowPunct/>
        <w:autoSpaceDE/>
        <w:autoSpaceDN/>
        <w:adjustRightInd/>
        <w:snapToGrid w:val="0"/>
        <w:spacing w:before="180" w:after="0"/>
        <w:jc w:val="both"/>
        <w:textAlignment w:val="auto"/>
        <w:rPr>
          <w:rFonts w:eastAsia="Times New Roman"/>
          <w:lang w:eastAsia="ja-JP"/>
        </w:rPr>
      </w:pPr>
      <w:r w:rsidRPr="009C631A">
        <w:rPr>
          <w:rFonts w:eastAsia="MS Mincho"/>
          <w:lang w:eastAsia="en-US"/>
        </w:rPr>
        <w:t xml:space="preserve">Table </w:t>
      </w:r>
      <w:r w:rsidR="0026630E">
        <w:rPr>
          <w:rFonts w:eastAsia="MS Mincho"/>
          <w:lang w:eastAsia="en-US"/>
        </w:rPr>
        <w:t>2</w:t>
      </w:r>
      <w:r w:rsidRPr="009C631A">
        <w:rPr>
          <w:rFonts w:eastAsia="MS Mincho"/>
          <w:b/>
          <w:lang w:eastAsia="en-US"/>
        </w:rPr>
        <w:t xml:space="preserve"> </w:t>
      </w:r>
      <w:r w:rsidRPr="009C631A">
        <w:rPr>
          <w:rFonts w:eastAsia="Times New Roman"/>
          <w:lang w:eastAsia="ja-JP"/>
        </w:rPr>
        <w:t>illustrates the scenarios for PC1.5/PC2 inter-band EN-DC with possible interests from operators, including PC3+PC3 for FDD+FDD band combinations with 2Tx, and PC2+PC2 for TDD+TDD band combinations with 2Tx [</w:t>
      </w:r>
      <w:r w:rsidR="00006B7E">
        <w:rPr>
          <w:rFonts w:eastAsia="Times New Roman"/>
          <w:lang w:eastAsia="ja-JP"/>
        </w:rPr>
        <w:t>6</w:t>
      </w:r>
      <w:r w:rsidRPr="009C631A">
        <w:rPr>
          <w:rFonts w:eastAsia="Times New Roman"/>
          <w:lang w:eastAsia="ja-JP"/>
        </w:rPr>
        <w:t>].</w:t>
      </w:r>
    </w:p>
    <w:p w:rsidR="00476C4E" w:rsidRPr="00DC3373" w:rsidRDefault="00476C4E" w:rsidP="00476C4E">
      <w:pPr>
        <w:widowControl w:val="0"/>
        <w:overflowPunct/>
        <w:autoSpaceDE/>
        <w:autoSpaceDN/>
        <w:adjustRightInd/>
        <w:spacing w:before="120" w:after="120"/>
        <w:jc w:val="both"/>
        <w:textAlignment w:val="auto"/>
        <w:rPr>
          <w:rFonts w:eastAsia="MS Mincho"/>
          <w:b/>
          <w:lang w:eastAsia="en-US"/>
        </w:rPr>
      </w:pPr>
      <w:bookmarkStart w:id="6" w:name="_Ref162548274"/>
      <w:r w:rsidRPr="00DC3373">
        <w:rPr>
          <w:rFonts w:eastAsia="MS Mincho"/>
          <w:b/>
          <w:lang w:eastAsia="en-US"/>
        </w:rPr>
        <w:lastRenderedPageBreak/>
        <w:t xml:space="preserve">Observation </w:t>
      </w:r>
      <w:r w:rsidR="00205421">
        <w:rPr>
          <w:rFonts w:eastAsia="MS Mincho"/>
          <w:b/>
          <w:lang w:eastAsia="en-US"/>
        </w:rPr>
        <w:t>1</w:t>
      </w:r>
      <w:r w:rsidRPr="00DC3373">
        <w:rPr>
          <w:rFonts w:eastAsia="MS Mincho"/>
          <w:b/>
          <w:lang w:eastAsia="en-US"/>
        </w:rPr>
        <w:t>: The SAR solution to inter-band EN-DC with PC3 FDD+ PC3 FDD may be supported in Rel-19.</w:t>
      </w:r>
      <w:bookmarkEnd w:id="6"/>
    </w:p>
    <w:p w:rsidR="00476C4E" w:rsidRPr="009C631A" w:rsidRDefault="00476C4E" w:rsidP="009C45DF">
      <w:pPr>
        <w:widowControl w:val="0"/>
        <w:overflowPunct/>
        <w:autoSpaceDE/>
        <w:autoSpaceDN/>
        <w:adjustRightInd/>
        <w:snapToGrid w:val="0"/>
        <w:spacing w:before="180" w:after="0"/>
        <w:textAlignment w:val="auto"/>
        <w:rPr>
          <w:rFonts w:eastAsia="Times New Roman"/>
          <w:lang w:eastAsia="ja-JP"/>
        </w:rPr>
      </w:pPr>
      <w:r w:rsidRPr="009C631A">
        <w:rPr>
          <w:rFonts w:eastAsia="Times New Roman"/>
          <w:lang w:eastAsia="ja-JP"/>
        </w:rPr>
        <w:t xml:space="preserve">In Rel-16, two UE capabilities of duty cycle were introduced for inter-band EN-DC SAR solution, including </w:t>
      </w:r>
      <w:r w:rsidRPr="009C631A">
        <w:rPr>
          <w:rFonts w:eastAsia="Times New Roman"/>
          <w:i/>
          <w:lang w:eastAsia="zh-CN"/>
        </w:rPr>
        <w:t>maxUplinkDutyCycle-interBandENDC-TDD-PC2</w:t>
      </w:r>
      <w:r w:rsidRPr="009C631A">
        <w:rPr>
          <w:rFonts w:eastAsia="Times New Roman"/>
          <w:b/>
          <w:i/>
          <w:lang w:eastAsia="zh-CN"/>
        </w:rPr>
        <w:t xml:space="preserve"> </w:t>
      </w:r>
      <w:r w:rsidRPr="009C631A">
        <w:rPr>
          <w:rFonts w:eastAsia="Times New Roman"/>
          <w:lang w:eastAsia="ja-JP"/>
        </w:rPr>
        <w:t xml:space="preserve">and </w:t>
      </w:r>
      <w:r w:rsidRPr="009C631A">
        <w:rPr>
          <w:rFonts w:cs="Arial"/>
          <w:bCs/>
          <w:i/>
          <w:szCs w:val="18"/>
          <w:lang w:eastAsia="ko-KR"/>
        </w:rPr>
        <w:t>maxUplinkDutyCycle</w:t>
      </w:r>
      <w:r w:rsidRPr="009C631A">
        <w:rPr>
          <w:rFonts w:cs="Arial"/>
          <w:bCs/>
          <w:i/>
          <w:szCs w:val="18"/>
          <w:lang w:eastAsia="zh-CN"/>
        </w:rPr>
        <w:t>-interBandENDC-FDD-TDD-PC2</w:t>
      </w:r>
      <w:r w:rsidRPr="009C631A">
        <w:rPr>
          <w:rFonts w:eastAsia="Times New Roman"/>
          <w:lang w:eastAsia="ja-JP"/>
        </w:rPr>
        <w:t xml:space="preserve">. The two UE capabilities of duty cycle are applicable to TDD+TDD and FDD+TDD, separately. </w:t>
      </w:r>
      <w:proofErr w:type="gramStart"/>
      <w:r w:rsidRPr="009C631A">
        <w:rPr>
          <w:rFonts w:eastAsia="Times New Roman"/>
          <w:lang w:eastAsia="ja-JP"/>
        </w:rPr>
        <w:t>Thus</w:t>
      </w:r>
      <w:proofErr w:type="gramEnd"/>
      <w:r w:rsidRPr="009C631A">
        <w:rPr>
          <w:rFonts w:eastAsia="Times New Roman"/>
          <w:lang w:eastAsia="ja-JP"/>
        </w:rPr>
        <w:t xml:space="preserve"> a duty cycle capability for 2Tx FDD+FDD inter-band EN-DC band combination with PC2 may need to be introduced in Rel-19.</w:t>
      </w:r>
    </w:p>
    <w:p w:rsidR="00476C4E" w:rsidRPr="009C631A" w:rsidRDefault="00476C4E" w:rsidP="00476C4E">
      <w:pPr>
        <w:widowControl w:val="0"/>
        <w:numPr>
          <w:ilvl w:val="0"/>
          <w:numId w:val="4"/>
        </w:numPr>
        <w:tabs>
          <w:tab w:val="clear" w:pos="0"/>
          <w:tab w:val="num" w:pos="360"/>
        </w:tabs>
        <w:overflowPunct/>
        <w:autoSpaceDE/>
        <w:autoSpaceDN/>
        <w:adjustRightInd/>
        <w:snapToGrid w:val="0"/>
        <w:spacing w:before="120" w:after="0"/>
        <w:ind w:left="0" w:firstLine="0"/>
        <w:jc w:val="both"/>
        <w:textAlignment w:val="auto"/>
        <w:rPr>
          <w:rFonts w:eastAsia="Times New Roman"/>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6C4E" w:rsidRPr="009C631A" w:rsidTr="00D23E01">
        <w:trPr>
          <w:cantSplit/>
          <w:tblHeader/>
        </w:trPr>
        <w:tc>
          <w:tcPr>
            <w:tcW w:w="691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
                <w:i/>
                <w:sz w:val="18"/>
                <w:lang w:eastAsia="en-US"/>
              </w:rPr>
            </w:pPr>
            <w:r w:rsidRPr="009C631A">
              <w:rPr>
                <w:rFonts w:ascii="Arial" w:eastAsia="Times New Roman" w:hAnsi="Arial"/>
                <w:b/>
                <w:sz w:val="18"/>
                <w:lang w:eastAsia="en-US"/>
              </w:rPr>
              <w:t>Definitions for parameters</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bCs/>
                <w:i/>
                <w:iCs/>
                <w:sz w:val="18"/>
                <w:lang w:eastAsia="en-US"/>
              </w:rPr>
            </w:pPr>
            <w:r w:rsidRPr="009C631A">
              <w:rPr>
                <w:rFonts w:ascii="Arial" w:eastAsia="Times New Roman" w:hAnsi="Arial"/>
                <w:sz w:val="18"/>
                <w:lang w:eastAsia="en-US"/>
              </w:rPr>
              <w:tab/>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b/>
                <w:sz w:val="18"/>
                <w:lang w:eastAsia="en-US"/>
              </w:rPr>
              <w:t>Per</w:t>
            </w:r>
          </w:p>
        </w:tc>
        <w:tc>
          <w:tcPr>
            <w:tcW w:w="56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b/>
                <w:sz w:val="18"/>
                <w:lang w:eastAsia="en-US"/>
              </w:rPr>
              <w:t>M</w:t>
            </w:r>
          </w:p>
        </w:tc>
        <w:tc>
          <w:tcPr>
            <w:tcW w:w="709" w:type="dxa"/>
          </w:tcPr>
          <w:p w:rsidR="00476C4E" w:rsidRPr="009C631A" w:rsidRDefault="00476C4E" w:rsidP="00D23E01">
            <w:pPr>
              <w:keepNext/>
              <w:keepLines/>
              <w:snapToGrid w:val="0"/>
              <w:spacing w:after="0"/>
              <w:jc w:val="center"/>
              <w:rPr>
                <w:rFonts w:ascii="Arial" w:eastAsia="Times New Roman" w:hAnsi="Arial"/>
                <w:b/>
                <w:sz w:val="18"/>
                <w:lang w:eastAsia="ja-JP"/>
              </w:rPr>
            </w:pPr>
            <w:r w:rsidRPr="009C631A">
              <w:rPr>
                <w:rFonts w:ascii="Arial" w:eastAsia="Times New Roman" w:hAnsi="Arial"/>
                <w:b/>
                <w:sz w:val="18"/>
                <w:lang w:eastAsia="ja-JP"/>
              </w:rPr>
              <w:t>FDD-TDD</w:t>
            </w:r>
          </w:p>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sz w:val="18"/>
                <w:lang w:eastAsia="en-US"/>
              </w:rPr>
              <w:t>DIFF</w:t>
            </w:r>
          </w:p>
        </w:tc>
        <w:tc>
          <w:tcPr>
            <w:tcW w:w="728" w:type="dxa"/>
          </w:tcPr>
          <w:p w:rsidR="00476C4E" w:rsidRPr="009C631A" w:rsidRDefault="00476C4E" w:rsidP="00D23E01">
            <w:pPr>
              <w:keepNext/>
              <w:keepLines/>
              <w:snapToGrid w:val="0"/>
              <w:spacing w:after="0"/>
              <w:jc w:val="center"/>
              <w:rPr>
                <w:rFonts w:ascii="Arial" w:eastAsia="Times New Roman" w:hAnsi="Arial"/>
                <w:b/>
                <w:sz w:val="18"/>
                <w:lang w:eastAsia="ja-JP"/>
              </w:rPr>
            </w:pPr>
            <w:r w:rsidRPr="009C631A">
              <w:rPr>
                <w:rFonts w:ascii="Arial" w:eastAsia="Times New Roman" w:hAnsi="Arial"/>
                <w:b/>
                <w:sz w:val="18"/>
                <w:lang w:eastAsia="ja-JP"/>
              </w:rPr>
              <w:t>FR1-FR2</w:t>
            </w:r>
          </w:p>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en-US"/>
              </w:rPr>
            </w:pPr>
            <w:r w:rsidRPr="009C631A">
              <w:rPr>
                <w:rFonts w:ascii="Arial" w:eastAsia="Times New Roman" w:hAnsi="Arial"/>
                <w:sz w:val="18"/>
                <w:lang w:eastAsia="en-US"/>
              </w:rPr>
              <w:t>DIFF</w:t>
            </w:r>
          </w:p>
        </w:tc>
      </w:tr>
      <w:tr w:rsidR="00476C4E" w:rsidRPr="009C631A" w:rsidTr="00D23E01">
        <w:trPr>
          <w:cantSplit/>
          <w:tblHeader/>
        </w:trPr>
        <w:tc>
          <w:tcPr>
            <w:tcW w:w="6917" w:type="dxa"/>
          </w:tcPr>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b/>
                <w:i/>
                <w:sz w:val="18"/>
                <w:lang w:eastAsia="zh-CN"/>
              </w:rPr>
              <w:t>maxUplinkDutyCycle-interBandENDC-TDD-PC2-r16</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Cs/>
                <w:iCs/>
                <w:sz w:val="18"/>
                <w:lang w:eastAsia="zh-CN"/>
              </w:rPr>
            </w:pPr>
            <w:r w:rsidRPr="009C631A">
              <w:rPr>
                <w:rFonts w:ascii="Arial" w:eastAsia="Times New Roman" w:hAnsi="Arial"/>
                <w:bCs/>
                <w:iCs/>
                <w:sz w:val="18"/>
                <w:lang w:eastAsia="en-US"/>
              </w:rPr>
              <w:t>Indicates</w:t>
            </w:r>
            <w:r w:rsidRPr="009C631A">
              <w:rPr>
                <w:rFonts w:ascii="Arial" w:eastAsia="Times New Roman" w:hAnsi="Arial"/>
                <w:bCs/>
                <w:iCs/>
                <w:sz w:val="18"/>
                <w:lang w:eastAsia="zh-CN"/>
              </w:rPr>
              <w:t xml:space="preserve"> </w:t>
            </w:r>
            <w:r w:rsidRPr="009C631A">
              <w:rPr>
                <w:rFonts w:ascii="Arial" w:eastAsia="Times New Roman" w:hAnsi="Arial"/>
                <w:bCs/>
                <w:iCs/>
                <w:sz w:val="18"/>
                <w:lang w:eastAsia="en-US"/>
              </w:rPr>
              <w:t xml:space="preserve">the maximum percentage of symbols during </w:t>
            </w:r>
            <w:r w:rsidRPr="009C631A">
              <w:rPr>
                <w:rFonts w:ascii="Arial" w:eastAsia="Times New Roman" w:hAnsi="Arial"/>
                <w:bCs/>
                <w:iCs/>
                <w:sz w:val="18"/>
                <w:lang w:eastAsia="zh-CN"/>
              </w:rPr>
              <w:t xml:space="preserve">a certain evaluation period </w:t>
            </w:r>
            <w:r w:rsidRPr="009C631A">
              <w:rPr>
                <w:rFonts w:ascii="Arial" w:eastAsia="Times New Roman" w:hAnsi="Arial"/>
                <w:bCs/>
                <w:iCs/>
                <w:sz w:val="18"/>
                <w:lang w:eastAsia="en-US"/>
              </w:rPr>
              <w:t xml:space="preserve">that can be scheduled for </w:t>
            </w:r>
            <w:r w:rsidRPr="009C631A">
              <w:rPr>
                <w:rFonts w:ascii="Arial" w:hAnsi="Arial"/>
                <w:bCs/>
                <w:iCs/>
                <w:sz w:val="18"/>
                <w:lang w:eastAsia="zh-CN"/>
              </w:rPr>
              <w:t xml:space="preserve">NR </w:t>
            </w:r>
            <w:r w:rsidRPr="009C631A">
              <w:rPr>
                <w:rFonts w:ascii="Arial" w:eastAsia="Times New Roman" w:hAnsi="Arial"/>
                <w:bCs/>
                <w:iCs/>
                <w:sz w:val="18"/>
                <w:lang w:eastAsia="en-US"/>
              </w:rPr>
              <w:t>uplink transmission</w:t>
            </w:r>
            <w:r w:rsidRPr="009C631A">
              <w:rPr>
                <w:rFonts w:ascii="Arial" w:hAnsi="Arial"/>
                <w:bCs/>
                <w:iCs/>
                <w:sz w:val="18"/>
                <w:lang w:eastAsia="zh-CN"/>
              </w:rPr>
              <w:t xml:space="preserve"> </w:t>
            </w:r>
            <w:r w:rsidRPr="009C631A">
              <w:rPr>
                <w:rFonts w:ascii="Arial" w:eastAsia="Times New Roman" w:hAnsi="Arial"/>
                <w:bCs/>
                <w:iCs/>
                <w:sz w:val="18"/>
                <w:lang w:eastAsia="zh-CN"/>
              </w:rPr>
              <w:t xml:space="preserve">under different EUTRA TDD uplink-downlink configurations </w:t>
            </w:r>
            <w:r w:rsidRPr="009C631A">
              <w:rPr>
                <w:rFonts w:ascii="Arial" w:eastAsia="Times New Roman" w:hAnsi="Arial"/>
                <w:bCs/>
                <w:iCs/>
                <w:sz w:val="18"/>
                <w:lang w:eastAsia="en-US"/>
              </w:rPr>
              <w:t xml:space="preserve">so as to ensure compliance with applicable electromagnetic energy absorption requirements provided by regulatory bodies. This field is only applicable for </w:t>
            </w:r>
            <w:r w:rsidRPr="009C631A">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proofErr w:type="spellStart"/>
            <w:r w:rsidRPr="009C631A">
              <w:rPr>
                <w:rFonts w:ascii="Arial" w:eastAsia="Times New Roman" w:hAnsi="Arial"/>
                <w:bCs/>
                <w:i/>
                <w:iCs/>
                <w:sz w:val="18"/>
                <w:lang w:eastAsia="zh-CN"/>
              </w:rPr>
              <w:t>eutra</w:t>
            </w:r>
            <w:proofErr w:type="spellEnd"/>
            <w:r w:rsidRPr="009C631A">
              <w:rPr>
                <w:rFonts w:ascii="Arial" w:eastAsia="Times New Roman" w:hAnsi="Arial"/>
                <w:bCs/>
                <w:i/>
                <w:iCs/>
                <w:sz w:val="18"/>
                <w:lang w:eastAsia="zh-CN"/>
              </w:rPr>
              <w:t>-TDD-</w:t>
            </w:r>
            <w:proofErr w:type="spellStart"/>
            <w:r w:rsidRPr="009C631A">
              <w:rPr>
                <w:rFonts w:ascii="Arial" w:eastAsia="Times New Roman" w:hAnsi="Arial"/>
                <w:bCs/>
                <w:i/>
                <w:iCs/>
                <w:sz w:val="18"/>
                <w:lang w:eastAsia="zh-CN"/>
              </w:rPr>
              <w:t>Configx</w:t>
            </w:r>
            <w:proofErr w:type="spellEnd"/>
            <w:r w:rsidRPr="009C631A">
              <w:rPr>
                <w:rFonts w:ascii="Arial" w:eastAsia="Times New Roman" w:hAnsi="Arial"/>
                <w:bCs/>
                <w:i/>
                <w:iCs/>
                <w:sz w:val="18"/>
                <w:lang w:eastAsia="zh-CN"/>
              </w:rPr>
              <w:t xml:space="preserve"> </w:t>
            </w:r>
            <w:r w:rsidRPr="009C631A">
              <w:rPr>
                <w:rFonts w:ascii="Arial" w:eastAsia="Times New Roman" w:hAnsi="Arial"/>
                <w:bCs/>
                <w:iCs/>
                <w:sz w:val="18"/>
                <w:lang w:eastAsia="zh-CN"/>
              </w:rPr>
              <w:t>is absent, 30% shall be applied to the corresponding EUTRA TDD uplink-downlink configuration.</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bCs/>
                <w:iCs/>
                <w:sz w:val="18"/>
                <w:lang w:eastAsia="zh-CN"/>
              </w:rPr>
              <w:t>Value n20 corresponds to 20%, value n40 corresponds to 40% and so on.</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BC</w:t>
            </w:r>
          </w:p>
        </w:tc>
        <w:tc>
          <w:tcPr>
            <w:tcW w:w="56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No</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TDD only</w:t>
            </w:r>
          </w:p>
        </w:tc>
        <w:tc>
          <w:tcPr>
            <w:tcW w:w="728"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FR1 only</w:t>
            </w:r>
          </w:p>
        </w:tc>
      </w:tr>
      <w:tr w:rsidR="00476C4E" w:rsidRPr="009C631A" w:rsidTr="00D23E01">
        <w:trPr>
          <w:cantSplit/>
          <w:tblHeader/>
        </w:trPr>
        <w:tc>
          <w:tcPr>
            <w:tcW w:w="6917" w:type="dxa"/>
          </w:tcPr>
          <w:p w:rsidR="00476C4E" w:rsidRPr="009C631A" w:rsidRDefault="00476C4E" w:rsidP="00D23E01">
            <w:pPr>
              <w:keepNext/>
              <w:keepLines/>
              <w:overflowPunct/>
              <w:autoSpaceDE/>
              <w:autoSpaceDN/>
              <w:adjustRightInd/>
              <w:snapToGrid w:val="0"/>
              <w:spacing w:after="0"/>
              <w:textAlignment w:val="auto"/>
              <w:rPr>
                <w:rFonts w:ascii="Arial" w:hAnsi="Arial" w:cs="Arial"/>
                <w:b/>
                <w:bCs/>
                <w:i/>
                <w:sz w:val="18"/>
                <w:szCs w:val="18"/>
                <w:lang w:eastAsia="zh-CN"/>
              </w:rPr>
            </w:pPr>
            <w:r w:rsidRPr="009C631A">
              <w:rPr>
                <w:rFonts w:ascii="Arial" w:hAnsi="Arial" w:cs="Arial"/>
                <w:b/>
                <w:bCs/>
                <w:i/>
                <w:sz w:val="18"/>
                <w:szCs w:val="18"/>
                <w:lang w:eastAsia="ko-KR"/>
              </w:rPr>
              <w:t>maxUplinkDutyCycle</w:t>
            </w:r>
            <w:r w:rsidRPr="009C631A">
              <w:rPr>
                <w:rFonts w:ascii="Arial" w:hAnsi="Arial" w:cs="Arial"/>
                <w:b/>
                <w:bCs/>
                <w:i/>
                <w:sz w:val="18"/>
                <w:szCs w:val="18"/>
                <w:lang w:eastAsia="zh-CN"/>
              </w:rPr>
              <w:t>-interBandENDC-FDD-TDD-PC2-r16</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cs="Arial"/>
                <w:sz w:val="18"/>
                <w:lang w:eastAsia="en-US"/>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C631A">
              <w:rPr>
                <w:rFonts w:ascii="Arial" w:eastAsia="Times New Roman" w:hAnsi="Arial" w:cs="Arial"/>
                <w:sz w:val="18"/>
                <w:szCs w:val="18"/>
                <w:lang w:eastAsia="zh-CN"/>
              </w:rPr>
              <w:t xml:space="preserve"> of </w:t>
            </w:r>
            <w:r w:rsidRPr="009C631A">
              <w:rPr>
                <w:rFonts w:ascii="Arial" w:eastAsia="Times New Roman" w:hAnsi="Arial" w:cs="Arial"/>
                <w:i/>
                <w:sz w:val="18"/>
                <w:szCs w:val="18"/>
                <w:lang w:eastAsia="ko-KR"/>
              </w:rPr>
              <w:t>maxUplinkDutyCycle</w:t>
            </w:r>
            <w:r w:rsidRPr="009C631A">
              <w:rPr>
                <w:rFonts w:ascii="Arial" w:eastAsia="Times New Roman" w:hAnsi="Arial" w:cs="Arial"/>
                <w:i/>
                <w:sz w:val="18"/>
                <w:szCs w:val="18"/>
                <w:lang w:eastAsia="zh-CN"/>
              </w:rPr>
              <w:t xml:space="preserve">-FDD-TDD-EN-DC1 </w:t>
            </w:r>
            <w:r w:rsidRPr="009C631A">
              <w:rPr>
                <w:rFonts w:ascii="Arial" w:eastAsia="Times New Roman" w:hAnsi="Arial" w:cs="Arial"/>
                <w:sz w:val="18"/>
                <w:szCs w:val="18"/>
                <w:lang w:eastAsia="en-US"/>
              </w:rPr>
              <w:t xml:space="preserve">and </w:t>
            </w:r>
            <w:r w:rsidRPr="009C631A">
              <w:rPr>
                <w:rFonts w:ascii="Arial" w:eastAsia="Times New Roman" w:hAnsi="Arial" w:cs="Arial"/>
                <w:i/>
                <w:sz w:val="18"/>
                <w:szCs w:val="18"/>
                <w:lang w:eastAsia="ko-KR"/>
              </w:rPr>
              <w:t>maxUplinkDutyCycle</w:t>
            </w:r>
            <w:r w:rsidRPr="009C631A">
              <w:rPr>
                <w:rFonts w:ascii="Arial" w:eastAsia="Times New Roman" w:hAnsi="Arial" w:cs="Arial"/>
                <w:i/>
                <w:sz w:val="18"/>
                <w:szCs w:val="18"/>
                <w:lang w:eastAsia="zh-CN"/>
              </w:rPr>
              <w:t xml:space="preserve">-FDD-TDD-EN-DC2 </w:t>
            </w:r>
            <w:r w:rsidRPr="009C631A">
              <w:rPr>
                <w:rFonts w:ascii="Arial" w:eastAsia="Times New Roman" w:hAnsi="Arial" w:cs="Arial"/>
                <w:sz w:val="18"/>
                <w:szCs w:val="18"/>
                <w:lang w:eastAsia="en-US"/>
              </w:rPr>
              <w:t xml:space="preserve">which indicate the </w:t>
            </w:r>
            <w:proofErr w:type="spellStart"/>
            <w:r w:rsidRPr="009C631A">
              <w:rPr>
                <w:rFonts w:ascii="Arial" w:eastAsia="Times New Roman" w:hAnsi="Arial" w:cs="Arial"/>
                <w:sz w:val="18"/>
                <w:szCs w:val="18"/>
                <w:lang w:eastAsia="zh-CN"/>
              </w:rPr>
              <w:t>maxUplinkDutyCycle</w:t>
            </w:r>
            <w:proofErr w:type="spellEnd"/>
            <w:r w:rsidRPr="009C631A">
              <w:rPr>
                <w:rFonts w:ascii="Arial" w:eastAsia="Times New Roman" w:hAnsi="Arial" w:cs="Arial"/>
                <w:sz w:val="18"/>
                <w:szCs w:val="18"/>
                <w:lang w:eastAsia="zh-CN"/>
              </w:rPr>
              <w:t xml:space="preserve"> capability of NR band</w:t>
            </w:r>
            <w:r w:rsidRPr="009C631A">
              <w:rPr>
                <w:rFonts w:ascii="Arial" w:eastAsia="Times New Roman" w:hAnsi="Arial" w:cs="Arial"/>
                <w:sz w:val="18"/>
                <w:szCs w:val="18"/>
                <w:lang w:eastAsia="en-US"/>
              </w:rPr>
              <w:t xml:space="preserve"> corresponding to different LTE reference configurations</w:t>
            </w:r>
            <w:r w:rsidRPr="009C631A">
              <w:rPr>
                <w:rFonts w:ascii="Arial" w:eastAsia="Times New Roman" w:hAnsi="Arial" w:cs="Arial"/>
                <w:sz w:val="18"/>
                <w:szCs w:val="18"/>
                <w:lang w:eastAsia="zh-CN"/>
              </w:rPr>
              <w:t xml:space="preserve"> as described in TS 38.101-3 [4], clause 6.2B.1.3. </w:t>
            </w:r>
            <w:r w:rsidRPr="009C631A">
              <w:rPr>
                <w:rFonts w:ascii="Arial" w:eastAsia="Times New Roman" w:hAnsi="Arial"/>
                <w:bCs/>
                <w:iCs/>
                <w:sz w:val="18"/>
                <w:lang w:eastAsia="zh-CN"/>
              </w:rPr>
              <w:t>Value n30 corresponds to 30%, value n40 corresponds to 40% and so on.</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BC</w:t>
            </w:r>
          </w:p>
        </w:tc>
        <w:tc>
          <w:tcPr>
            <w:tcW w:w="56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No</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N/A</w:t>
            </w:r>
          </w:p>
        </w:tc>
        <w:tc>
          <w:tcPr>
            <w:tcW w:w="728"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FR1 only</w:t>
            </w:r>
          </w:p>
        </w:tc>
      </w:tr>
    </w:tbl>
    <w:p w:rsidR="00476C4E" w:rsidRPr="0090761E" w:rsidRDefault="00476C4E" w:rsidP="00476C4E">
      <w:pPr>
        <w:widowControl w:val="0"/>
        <w:overflowPunct/>
        <w:autoSpaceDE/>
        <w:autoSpaceDN/>
        <w:adjustRightInd/>
        <w:snapToGrid w:val="0"/>
        <w:spacing w:before="180" w:after="120"/>
        <w:jc w:val="both"/>
        <w:textAlignment w:val="auto"/>
        <w:rPr>
          <w:rFonts w:eastAsia="MS Mincho"/>
          <w:b/>
          <w:lang w:eastAsia="en-US"/>
        </w:rPr>
      </w:pPr>
      <w:bookmarkStart w:id="7" w:name="_Ref162548276"/>
      <w:r w:rsidRPr="0090761E">
        <w:rPr>
          <w:rFonts w:eastAsia="MS Mincho"/>
          <w:b/>
          <w:lang w:eastAsia="en-US"/>
        </w:rPr>
        <w:t xml:space="preserve">Observation </w:t>
      </w:r>
      <w:r w:rsidR="00BF6531">
        <w:rPr>
          <w:rFonts w:eastAsia="MS Mincho"/>
          <w:b/>
          <w:lang w:eastAsia="en-US"/>
        </w:rPr>
        <w:t>2</w:t>
      </w:r>
      <w:r w:rsidRPr="0090761E">
        <w:rPr>
          <w:rFonts w:eastAsia="MS Mincho"/>
          <w:b/>
          <w:lang w:eastAsia="en-US"/>
        </w:rPr>
        <w:t>: A duty cycle capability for 2Tx FDD+FDD inter-band EN-DC band combination with PC2 may be introduced in Rel-19.</w:t>
      </w:r>
      <w:bookmarkEnd w:id="7"/>
    </w:p>
    <w:p w:rsidR="00476C4E" w:rsidRPr="009C631A" w:rsidRDefault="00476C4E" w:rsidP="00476C4E">
      <w:pPr>
        <w:widowControl w:val="0"/>
        <w:overflowPunct/>
        <w:autoSpaceDE/>
        <w:autoSpaceDN/>
        <w:adjustRightInd/>
        <w:snapToGrid w:val="0"/>
        <w:spacing w:before="120" w:after="0"/>
        <w:jc w:val="both"/>
        <w:textAlignment w:val="auto"/>
        <w:rPr>
          <w:rFonts w:eastAsia="Times New Roman"/>
          <w:lang w:eastAsia="ja-JP"/>
        </w:rPr>
      </w:pPr>
      <w:r w:rsidRPr="009C631A">
        <w:rPr>
          <w:rFonts w:eastAsia="Times New Roman"/>
          <w:lang w:eastAsia="ja-JP"/>
        </w:rPr>
        <w:t>Besides, the 2Tx inter-band EN-DC with PC2 TDD+ PC2 TDD and the corresponding SAR solution may need to be supported in Rel-19.</w:t>
      </w:r>
    </w:p>
    <w:p w:rsidR="00476C4E" w:rsidRPr="0090761E" w:rsidRDefault="00476C4E" w:rsidP="00476C4E">
      <w:pPr>
        <w:widowControl w:val="0"/>
        <w:overflowPunct/>
        <w:autoSpaceDE/>
        <w:autoSpaceDN/>
        <w:adjustRightInd/>
        <w:snapToGrid w:val="0"/>
        <w:spacing w:before="120" w:after="120"/>
        <w:jc w:val="both"/>
        <w:textAlignment w:val="auto"/>
        <w:rPr>
          <w:rFonts w:eastAsia="MS Mincho"/>
          <w:b/>
          <w:lang w:eastAsia="en-US"/>
        </w:rPr>
      </w:pPr>
      <w:bookmarkStart w:id="8" w:name="_Ref162548278"/>
      <w:r w:rsidRPr="0090761E">
        <w:rPr>
          <w:rFonts w:eastAsia="MS Mincho"/>
          <w:b/>
          <w:lang w:eastAsia="en-US"/>
        </w:rPr>
        <w:t xml:space="preserve">Observation </w:t>
      </w:r>
      <w:r w:rsidR="00BD1AC6">
        <w:rPr>
          <w:rFonts w:eastAsia="MS Mincho"/>
          <w:b/>
          <w:lang w:eastAsia="en-US"/>
        </w:rPr>
        <w:t>3</w:t>
      </w:r>
      <w:r w:rsidRPr="0090761E">
        <w:rPr>
          <w:rFonts w:eastAsia="MS Mincho"/>
          <w:b/>
          <w:lang w:eastAsia="en-US"/>
        </w:rPr>
        <w:t>: The 2Tx inter-band EN-DC with PC2 TDD+ PC2 TDD in PC1.5 and the corresponding SAR solution may be supported in Rel-19.</w:t>
      </w:r>
      <w:bookmarkEnd w:id="8"/>
    </w:p>
    <w:p w:rsidR="00476C4E" w:rsidRPr="009C631A" w:rsidRDefault="00476C4E" w:rsidP="00476C4E">
      <w:pPr>
        <w:widowControl w:val="0"/>
        <w:overflowPunct/>
        <w:autoSpaceDE/>
        <w:autoSpaceDN/>
        <w:adjustRightInd/>
        <w:snapToGrid w:val="0"/>
        <w:spacing w:before="120" w:after="0"/>
        <w:jc w:val="both"/>
        <w:textAlignment w:val="auto"/>
        <w:rPr>
          <w:rFonts w:eastAsia="Times New Roman"/>
          <w:lang w:eastAsia="ja-JP"/>
        </w:rPr>
      </w:pPr>
      <w:r w:rsidRPr="009C631A">
        <w:rPr>
          <w:rFonts w:eastAsia="Times New Roman"/>
          <w:lang w:eastAsia="ja-JP"/>
        </w:rPr>
        <w:t>Although the 3Tx inter-band EN-DC with PC2/PC1.5 are also included in Rel-19 WID scope, no demand from operators is collected until now. Therefore, it is not necessary to consider the SAR solution to 3Tx inter-band EN-DC with PC2/PC1.5 at this stage.</w:t>
      </w:r>
    </w:p>
    <w:p w:rsidR="00476C4E" w:rsidRPr="0090761E" w:rsidRDefault="00476C4E" w:rsidP="00476C4E">
      <w:pPr>
        <w:widowControl w:val="0"/>
        <w:overflowPunct/>
        <w:autoSpaceDE/>
        <w:autoSpaceDN/>
        <w:adjustRightInd/>
        <w:snapToGrid w:val="0"/>
        <w:spacing w:before="120" w:after="120"/>
        <w:jc w:val="both"/>
        <w:textAlignment w:val="auto"/>
        <w:rPr>
          <w:rFonts w:eastAsia="MS Mincho"/>
          <w:b/>
          <w:lang w:eastAsia="en-US"/>
        </w:rPr>
      </w:pPr>
      <w:bookmarkStart w:id="9" w:name="_Ref162548279"/>
      <w:r w:rsidRPr="0090761E">
        <w:rPr>
          <w:rFonts w:eastAsia="MS Mincho"/>
          <w:b/>
          <w:lang w:eastAsia="en-US"/>
        </w:rPr>
        <w:t xml:space="preserve">Observation </w:t>
      </w:r>
      <w:r w:rsidR="00B9465E">
        <w:rPr>
          <w:rFonts w:eastAsia="MS Mincho"/>
          <w:b/>
          <w:lang w:eastAsia="en-US"/>
        </w:rPr>
        <w:t>4</w:t>
      </w:r>
      <w:r w:rsidRPr="0090761E">
        <w:rPr>
          <w:rFonts w:eastAsia="MS Mincho"/>
          <w:b/>
          <w:lang w:eastAsia="en-US"/>
        </w:rPr>
        <w:t xml:space="preserve">: It is not necessary to </w:t>
      </w:r>
      <w:r>
        <w:rPr>
          <w:rFonts w:eastAsia="MS Mincho"/>
          <w:b/>
          <w:lang w:eastAsia="en-US"/>
        </w:rPr>
        <w:t xml:space="preserve">further </w:t>
      </w:r>
      <w:r w:rsidRPr="0090761E">
        <w:rPr>
          <w:rFonts w:eastAsia="MS Mincho"/>
          <w:b/>
          <w:lang w:eastAsia="en-US"/>
        </w:rPr>
        <w:t xml:space="preserve">consider SAR solution to 3Tx inter-band EN-DC with PC2/PC1.5 </w:t>
      </w:r>
      <w:r>
        <w:rPr>
          <w:rFonts w:eastAsia="MS Mincho"/>
          <w:b/>
          <w:lang w:eastAsia="en-US"/>
        </w:rPr>
        <w:t>in Rel-19</w:t>
      </w:r>
      <w:r w:rsidRPr="0090761E">
        <w:rPr>
          <w:rFonts w:eastAsia="MS Mincho"/>
          <w:b/>
          <w:lang w:eastAsia="en-US"/>
        </w:rPr>
        <w:t xml:space="preserve">, given that no </w:t>
      </w:r>
      <w:r>
        <w:rPr>
          <w:rFonts w:eastAsia="MS Mincho"/>
          <w:b/>
          <w:lang w:eastAsia="en-US"/>
        </w:rPr>
        <w:t xml:space="preserve">new </w:t>
      </w:r>
      <w:r w:rsidRPr="0090761E">
        <w:rPr>
          <w:rFonts w:eastAsia="MS Mincho"/>
          <w:b/>
          <w:lang w:eastAsia="en-US"/>
        </w:rPr>
        <w:t>demand</w:t>
      </w:r>
      <w:r>
        <w:rPr>
          <w:rFonts w:eastAsia="MS Mincho"/>
          <w:b/>
          <w:lang w:eastAsia="en-US"/>
        </w:rPr>
        <w:t xml:space="preserve"> different from that in Rel-18</w:t>
      </w:r>
      <w:r w:rsidRPr="0090761E">
        <w:rPr>
          <w:rFonts w:eastAsia="MS Mincho"/>
          <w:b/>
          <w:lang w:eastAsia="en-US"/>
        </w:rPr>
        <w:t xml:space="preserve"> from operators until now.</w:t>
      </w:r>
      <w:bookmarkEnd w:id="9"/>
    </w:p>
    <w:p w:rsidR="00476C4E" w:rsidRPr="009C631A" w:rsidRDefault="00476C4E" w:rsidP="00476C4E">
      <w:pPr>
        <w:widowControl w:val="0"/>
        <w:overflowPunct/>
        <w:autoSpaceDE/>
        <w:autoSpaceDN/>
        <w:adjustRightInd/>
        <w:snapToGrid w:val="0"/>
        <w:spacing w:after="120"/>
        <w:jc w:val="both"/>
        <w:textAlignment w:val="auto"/>
        <w:rPr>
          <w:lang w:eastAsia="zh-CN"/>
        </w:rPr>
      </w:pPr>
    </w:p>
    <w:p w:rsidR="00476C4E" w:rsidRPr="009C631A" w:rsidRDefault="00476C4E" w:rsidP="00476C4E">
      <w:pPr>
        <w:widowControl w:val="0"/>
        <w:overflowPunct/>
        <w:autoSpaceDE/>
        <w:autoSpaceDN/>
        <w:adjustRightInd/>
        <w:snapToGrid w:val="0"/>
        <w:spacing w:after="0"/>
        <w:jc w:val="both"/>
        <w:textAlignment w:val="auto"/>
        <w:rPr>
          <w:lang w:eastAsia="zh-CN"/>
        </w:rPr>
      </w:pPr>
      <w:r w:rsidRPr="009C631A">
        <w:rPr>
          <w:lang w:eastAsia="zh-CN"/>
        </w:rPr>
        <w:t xml:space="preserve">With the analysis above, </w:t>
      </w:r>
      <w:r w:rsidR="002B7490">
        <w:rPr>
          <w:lang w:eastAsia="zh-CN"/>
        </w:rPr>
        <w:t>the SAR solution might need to be specified for the following cases:</w:t>
      </w:r>
    </w:p>
    <w:p w:rsidR="00476C4E" w:rsidRPr="009C631A" w:rsidRDefault="00476C4E" w:rsidP="00476C4E">
      <w:pPr>
        <w:widowControl w:val="0"/>
        <w:numPr>
          <w:ilvl w:val="0"/>
          <w:numId w:val="35"/>
        </w:numPr>
        <w:overflowPunct/>
        <w:autoSpaceDE/>
        <w:autoSpaceDN/>
        <w:adjustRightInd/>
        <w:snapToGrid w:val="0"/>
        <w:spacing w:after="0"/>
        <w:jc w:val="both"/>
        <w:textAlignment w:val="auto"/>
        <w:rPr>
          <w:lang w:eastAsia="zh-CN"/>
        </w:rPr>
      </w:pPr>
      <w:r w:rsidRPr="009C631A">
        <w:rPr>
          <w:lang w:eastAsia="zh-CN"/>
        </w:rPr>
        <w:t>SAR solutions to 2Tx/3Tx inter-band CA with PC1.5 applied to any duplex modes of the two bands in one band combination.</w:t>
      </w:r>
    </w:p>
    <w:p w:rsidR="00476C4E" w:rsidRPr="009C631A" w:rsidRDefault="00476C4E" w:rsidP="00476C4E">
      <w:pPr>
        <w:widowControl w:val="0"/>
        <w:numPr>
          <w:ilvl w:val="0"/>
          <w:numId w:val="35"/>
        </w:numPr>
        <w:overflowPunct/>
        <w:autoSpaceDE/>
        <w:autoSpaceDN/>
        <w:adjustRightInd/>
        <w:snapToGrid w:val="0"/>
        <w:spacing w:after="0"/>
        <w:jc w:val="both"/>
        <w:textAlignment w:val="auto"/>
        <w:rPr>
          <w:lang w:eastAsia="zh-CN"/>
        </w:rPr>
      </w:pPr>
      <w:r w:rsidRPr="009C631A">
        <w:rPr>
          <w:lang w:eastAsia="zh-CN"/>
        </w:rPr>
        <w:t>SAR solution to 2Tx inter-band EN-DC with PC3 FDD+ PC3 FDD.</w:t>
      </w:r>
    </w:p>
    <w:p w:rsidR="00476C4E" w:rsidRPr="009C631A" w:rsidRDefault="00476C4E" w:rsidP="00476C4E">
      <w:pPr>
        <w:widowControl w:val="0"/>
        <w:numPr>
          <w:ilvl w:val="0"/>
          <w:numId w:val="35"/>
        </w:numPr>
        <w:overflowPunct/>
        <w:autoSpaceDE/>
        <w:autoSpaceDN/>
        <w:adjustRightInd/>
        <w:snapToGrid w:val="0"/>
        <w:spacing w:after="0"/>
        <w:jc w:val="both"/>
        <w:textAlignment w:val="auto"/>
        <w:rPr>
          <w:lang w:eastAsia="zh-CN"/>
        </w:rPr>
      </w:pPr>
      <w:r w:rsidRPr="009C631A">
        <w:rPr>
          <w:lang w:eastAsia="zh-CN"/>
        </w:rPr>
        <w:t>2Tx and PC1.5 inter-band EN-DC with PC2 TDD+ PC2 TDD.</w:t>
      </w:r>
    </w:p>
    <w:p w:rsidR="00476C4E" w:rsidRPr="001E5E5C" w:rsidRDefault="00476C4E" w:rsidP="00476C4E">
      <w:pPr>
        <w:widowControl w:val="0"/>
        <w:overflowPunct/>
        <w:autoSpaceDE/>
        <w:autoSpaceDN/>
        <w:adjustRightInd/>
        <w:snapToGrid w:val="0"/>
        <w:spacing w:before="120" w:after="60"/>
        <w:jc w:val="both"/>
        <w:textAlignment w:val="auto"/>
        <w:rPr>
          <w:rFonts w:eastAsia="MS Mincho"/>
          <w:b/>
          <w:lang w:eastAsia="en-US"/>
        </w:rPr>
      </w:pPr>
      <w:bookmarkStart w:id="10" w:name="_Ref161824605"/>
      <w:bookmarkStart w:id="11" w:name="_Ref162548318"/>
      <w:r w:rsidRPr="001E5E5C">
        <w:rPr>
          <w:rFonts w:eastAsia="MS Mincho"/>
          <w:b/>
          <w:lang w:eastAsia="en-US"/>
        </w:rPr>
        <w:t xml:space="preserve">Proposal </w:t>
      </w:r>
      <w:r w:rsidR="0059228D">
        <w:rPr>
          <w:rFonts w:eastAsia="MS Mincho"/>
          <w:b/>
          <w:lang w:eastAsia="en-US"/>
        </w:rPr>
        <w:t>4</w:t>
      </w:r>
      <w:r w:rsidRPr="001E5E5C">
        <w:rPr>
          <w:rFonts w:eastAsia="MS Mincho"/>
          <w:b/>
          <w:lang w:eastAsia="en-US"/>
        </w:rPr>
        <w:t>:</w:t>
      </w:r>
      <w:bookmarkEnd w:id="10"/>
      <w:r w:rsidRPr="001E5E5C">
        <w:rPr>
          <w:rFonts w:eastAsia="MS Mincho"/>
          <w:b/>
          <w:lang w:eastAsia="en-US"/>
        </w:rPr>
        <w:t xml:space="preserve"> The </w:t>
      </w:r>
      <w:r w:rsidR="002B7490">
        <w:rPr>
          <w:rFonts w:eastAsia="MS Mincho"/>
          <w:b/>
          <w:lang w:eastAsia="en-US"/>
        </w:rPr>
        <w:t xml:space="preserve">duty-cycle based </w:t>
      </w:r>
      <w:r w:rsidRPr="001E5E5C">
        <w:rPr>
          <w:rFonts w:eastAsia="MS Mincho"/>
          <w:b/>
          <w:lang w:eastAsia="en-US"/>
        </w:rPr>
        <w:t xml:space="preserve">SAR solution </w:t>
      </w:r>
      <w:r w:rsidR="002B7490">
        <w:rPr>
          <w:rFonts w:eastAsia="MS Mincho"/>
          <w:b/>
          <w:lang w:eastAsia="en-US"/>
        </w:rPr>
        <w:t xml:space="preserve">may be specified for </w:t>
      </w:r>
      <w:r w:rsidR="00C52C42">
        <w:rPr>
          <w:rFonts w:eastAsia="MS Mincho"/>
          <w:b/>
          <w:lang w:eastAsia="en-US"/>
        </w:rPr>
        <w:t>the following cases:</w:t>
      </w:r>
      <w:bookmarkEnd w:id="11"/>
    </w:p>
    <w:tbl>
      <w:tblPr>
        <w:tblStyle w:val="1"/>
        <w:tblW w:w="0" w:type="auto"/>
        <w:tblLook w:val="04A0" w:firstRow="1" w:lastRow="0" w:firstColumn="1" w:lastColumn="0" w:noHBand="0" w:noVBand="1"/>
      </w:tblPr>
      <w:tblGrid>
        <w:gridCol w:w="2100"/>
        <w:gridCol w:w="2158"/>
        <w:gridCol w:w="2896"/>
        <w:gridCol w:w="2701"/>
      </w:tblGrid>
      <w:tr w:rsidR="00476C4E" w:rsidRPr="009C631A" w:rsidTr="00D23E01">
        <w:tc>
          <w:tcPr>
            <w:tcW w:w="2100" w:type="dxa"/>
          </w:tcPr>
          <w:p w:rsidR="00476C4E" w:rsidRPr="005C0BA2" w:rsidRDefault="00476C4E" w:rsidP="00D23E01">
            <w:pPr>
              <w:overflowPunct/>
              <w:autoSpaceDE/>
              <w:autoSpaceDN/>
              <w:adjustRightInd/>
              <w:snapToGrid w:val="0"/>
              <w:spacing w:before="0" w:after="0" w:line="240" w:lineRule="auto"/>
              <w:textAlignment w:val="auto"/>
              <w:rPr>
                <w:kern w:val="2"/>
                <w:sz w:val="21"/>
                <w:szCs w:val="22"/>
                <w:lang w:eastAsia="en-US"/>
              </w:rPr>
            </w:pPr>
          </w:p>
        </w:tc>
        <w:tc>
          <w:tcPr>
            <w:tcW w:w="2158" w:type="dxa"/>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896"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PC2</w:t>
            </w:r>
          </w:p>
        </w:tc>
        <w:tc>
          <w:tcPr>
            <w:tcW w:w="2701"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PC1.5</w:t>
            </w:r>
          </w:p>
        </w:tc>
      </w:tr>
      <w:tr w:rsidR="00476C4E" w:rsidRPr="009C631A" w:rsidTr="00D23E01">
        <w:tc>
          <w:tcPr>
            <w:tcW w:w="2100" w:type="dxa"/>
            <w:vMerge w:val="restart"/>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CA</w:t>
            </w: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2Tx</w:t>
            </w:r>
          </w:p>
        </w:tc>
        <w:tc>
          <w:tcPr>
            <w:tcW w:w="2896" w:type="dxa"/>
            <w:vMerge w:val="restart"/>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val="restart"/>
            <w:shd w:val="clear" w:color="auto" w:fill="FFC000"/>
            <w:vAlign w:val="center"/>
          </w:tcPr>
          <w:p w:rsidR="00476C4E" w:rsidRPr="009C631A" w:rsidRDefault="00C52C42" w:rsidP="00D23E01">
            <w:pPr>
              <w:overflowPunct/>
              <w:autoSpaceDE/>
              <w:autoSpaceDN/>
              <w:adjustRightInd/>
              <w:snapToGrid w:val="0"/>
              <w:spacing w:before="0" w:after="0" w:line="240" w:lineRule="auto"/>
              <w:jc w:val="center"/>
              <w:textAlignment w:val="auto"/>
              <w:rPr>
                <w:kern w:val="2"/>
                <w:sz w:val="21"/>
                <w:szCs w:val="22"/>
                <w:lang w:val="en-US" w:eastAsia="en-US"/>
              </w:rPr>
            </w:pPr>
            <w:r>
              <w:rPr>
                <w:rFonts w:ascii="Arial" w:hAnsi="Arial" w:cs="Arial"/>
                <w:b/>
                <w:color w:val="000000"/>
                <w:kern w:val="2"/>
                <w:sz w:val="18"/>
                <w:szCs w:val="18"/>
                <w:lang w:val="en-US" w:eastAsia="zh-CN"/>
              </w:rPr>
              <w:t>needed</w:t>
            </w:r>
          </w:p>
        </w:tc>
      </w:tr>
      <w:tr w:rsidR="00476C4E" w:rsidRPr="009C631A" w:rsidTr="00D23E01">
        <w:tc>
          <w:tcPr>
            <w:tcW w:w="2100" w:type="dxa"/>
            <w:vMerge/>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3Tx</w:t>
            </w:r>
          </w:p>
        </w:tc>
        <w:tc>
          <w:tcPr>
            <w:tcW w:w="2896" w:type="dxa"/>
            <w:vMerge/>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shd w:val="clear" w:color="auto" w:fill="FFC000"/>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r>
      <w:tr w:rsidR="00476C4E" w:rsidRPr="009C631A" w:rsidTr="00D23E01">
        <w:tc>
          <w:tcPr>
            <w:tcW w:w="2100" w:type="dxa"/>
            <w:vMerge w:val="restart"/>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EN-DC</w:t>
            </w: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FDD + FDD</w:t>
            </w:r>
          </w:p>
        </w:tc>
        <w:tc>
          <w:tcPr>
            <w:tcW w:w="2896" w:type="dxa"/>
            <w:shd w:val="clear" w:color="auto" w:fill="FFC000"/>
            <w:vAlign w:val="center"/>
          </w:tcPr>
          <w:p w:rsidR="00476C4E" w:rsidRPr="009C631A" w:rsidRDefault="00C52C42" w:rsidP="00D23E01">
            <w:pPr>
              <w:overflowPunct/>
              <w:autoSpaceDE/>
              <w:autoSpaceDN/>
              <w:adjustRightInd/>
              <w:snapToGrid w:val="0"/>
              <w:spacing w:before="0" w:after="0" w:line="240" w:lineRule="auto"/>
              <w:jc w:val="center"/>
              <w:textAlignment w:val="auto"/>
              <w:rPr>
                <w:kern w:val="2"/>
                <w:sz w:val="21"/>
                <w:szCs w:val="22"/>
                <w:lang w:val="en-US" w:eastAsia="en-US"/>
              </w:rPr>
            </w:pPr>
            <w:r>
              <w:rPr>
                <w:rFonts w:ascii="Arial" w:hAnsi="Arial" w:cs="Arial"/>
                <w:b/>
                <w:color w:val="000000"/>
                <w:kern w:val="2"/>
                <w:sz w:val="18"/>
                <w:szCs w:val="18"/>
                <w:lang w:val="en-US" w:eastAsia="zh-CN"/>
              </w:rPr>
              <w:t>needed</w:t>
            </w:r>
          </w:p>
        </w:tc>
        <w:tc>
          <w:tcPr>
            <w:tcW w:w="2701" w:type="dxa"/>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r>
      <w:tr w:rsidR="00476C4E" w:rsidRPr="009C631A" w:rsidTr="00D23E01">
        <w:tc>
          <w:tcPr>
            <w:tcW w:w="2100" w:type="dxa"/>
            <w:vMerge/>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TDD + TDD</w:t>
            </w:r>
          </w:p>
        </w:tc>
        <w:tc>
          <w:tcPr>
            <w:tcW w:w="2896" w:type="dxa"/>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shd w:val="clear" w:color="auto" w:fill="FFC000"/>
            <w:vAlign w:val="center"/>
          </w:tcPr>
          <w:p w:rsidR="00476C4E" w:rsidRPr="009C631A" w:rsidRDefault="00C52C42" w:rsidP="00D23E01">
            <w:pPr>
              <w:overflowPunct/>
              <w:autoSpaceDE/>
              <w:autoSpaceDN/>
              <w:adjustRightInd/>
              <w:snapToGrid w:val="0"/>
              <w:spacing w:before="0" w:after="0" w:line="240" w:lineRule="auto"/>
              <w:jc w:val="center"/>
              <w:textAlignment w:val="auto"/>
              <w:rPr>
                <w:kern w:val="2"/>
                <w:sz w:val="21"/>
                <w:szCs w:val="22"/>
                <w:lang w:val="en-US" w:eastAsia="en-US"/>
              </w:rPr>
            </w:pPr>
            <w:r>
              <w:rPr>
                <w:rFonts w:ascii="Arial" w:hAnsi="Arial" w:cs="Arial"/>
                <w:b/>
                <w:color w:val="000000"/>
                <w:kern w:val="2"/>
                <w:sz w:val="18"/>
                <w:szCs w:val="18"/>
                <w:lang w:val="en-US" w:eastAsia="zh-CN"/>
              </w:rPr>
              <w:t>needed</w:t>
            </w:r>
          </w:p>
        </w:tc>
      </w:tr>
    </w:tbl>
    <w:p w:rsidR="00476C4E" w:rsidRDefault="00476C4E" w:rsidP="00476C4E"/>
    <w:p w:rsidR="00476C4E" w:rsidRPr="009C631A" w:rsidRDefault="00476C4E" w:rsidP="00476C4E">
      <w:r w:rsidRPr="004C0D3C">
        <w:rPr>
          <w:b/>
          <w:bCs/>
        </w:rPr>
        <w:t xml:space="preserve">Proposal </w:t>
      </w:r>
      <w:r w:rsidR="0059228D">
        <w:rPr>
          <w:b/>
          <w:bCs/>
        </w:rPr>
        <w:t>5</w:t>
      </w:r>
      <w:r>
        <w:rPr>
          <w:b/>
          <w:bCs/>
        </w:rPr>
        <w:t>: If no consensus on the SAR solution, leave the issue to UE implementation</w:t>
      </w:r>
      <w:r w:rsidR="00C52C42">
        <w:rPr>
          <w:b/>
          <w:bCs/>
        </w:rPr>
        <w:t xml:space="preserve"> (i.e., P-MPR).</w:t>
      </w:r>
    </w:p>
    <w:p w:rsidR="005E321A" w:rsidRDefault="005E321A" w:rsidP="00BB3F9D">
      <w:pPr>
        <w:rPr>
          <w:b/>
          <w:lang w:eastAsia="zh-CN"/>
        </w:rPr>
      </w:pPr>
    </w:p>
    <w:p w:rsidR="00262AF2" w:rsidRDefault="00262AF2" w:rsidP="00262AF2">
      <w:pPr>
        <w:pStyle w:val="Heading4"/>
      </w:pPr>
      <w:r>
        <w:lastRenderedPageBreak/>
        <w:t>2.3 MSD Rules</w:t>
      </w:r>
    </w:p>
    <w:p w:rsidR="00262AF2" w:rsidRDefault="0000127B" w:rsidP="00BB3F9D">
      <w:pPr>
        <w:rPr>
          <w:b/>
          <w:lang w:eastAsia="zh-CN"/>
        </w:rPr>
      </w:pPr>
      <w:r>
        <w:rPr>
          <w:noProof/>
          <w:lang w:val="en-US" w:eastAsia="zh-CN"/>
        </w:rPr>
        <mc:AlternateContent>
          <mc:Choice Requires="wps">
            <w:drawing>
              <wp:inline distT="0" distB="0" distL="0" distR="0" wp14:anchorId="02DC4102" wp14:editId="56B6939C">
                <wp:extent cx="6264275" cy="2362640"/>
                <wp:effectExtent l="57150" t="19050" r="79375" b="1143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236264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00127B" w:rsidRPr="00FC3465" w:rsidRDefault="0000127B" w:rsidP="0000127B">
                            <w:pPr>
                              <w:pStyle w:val="Heading2"/>
                              <w:rPr>
                                <w:sz w:val="24"/>
                                <w:lang w:eastAsia="zh-CN"/>
                              </w:rPr>
                            </w:pPr>
                            <w:r>
                              <w:rPr>
                                <w:sz w:val="24"/>
                              </w:rPr>
                              <w:t xml:space="preserve">4.1 </w:t>
                            </w:r>
                            <w:r w:rsidRPr="00DF2393">
                              <w:rPr>
                                <w:sz w:val="24"/>
                              </w:rPr>
                              <w:t xml:space="preserve">MSD </w:t>
                            </w:r>
                            <w:r>
                              <w:rPr>
                                <w:sz w:val="24"/>
                              </w:rPr>
                              <w:t>rules</w:t>
                            </w:r>
                          </w:p>
                          <w:p w:rsidR="0000127B" w:rsidRPr="008E2845" w:rsidRDefault="0000127B" w:rsidP="0000127B">
                            <w:pPr>
                              <w:rPr>
                                <w:rFonts w:eastAsiaTheme="minorEastAsia"/>
                                <w:b/>
                                <w:lang w:eastAsia="zh-CN"/>
                              </w:rPr>
                            </w:pPr>
                            <w:r>
                              <w:rPr>
                                <w:b/>
                                <w:lang w:eastAsia="zh-CN"/>
                              </w:rPr>
                              <w:t>Way forward:</w:t>
                            </w:r>
                          </w:p>
                          <w:p w:rsidR="0000127B" w:rsidRPr="00B91222" w:rsidRDefault="0000127B" w:rsidP="0000127B">
                            <w:pPr>
                              <w:numPr>
                                <w:ilvl w:val="0"/>
                                <w:numId w:val="36"/>
                              </w:numPr>
                              <w:overflowPunct/>
                              <w:autoSpaceDE/>
                              <w:autoSpaceDN/>
                              <w:adjustRightInd/>
                              <w:spacing w:after="120"/>
                              <w:textAlignment w:val="auto"/>
                              <w:rPr>
                                <w:rFonts w:eastAsiaTheme="minorEastAsia"/>
                                <w:lang w:val="en-US"/>
                              </w:rPr>
                            </w:pPr>
                            <w:r w:rsidRPr="00B91222">
                              <w:rPr>
                                <w:rFonts w:eastAsiaTheme="minorEastAsia"/>
                                <w:lang w:val="en-US"/>
                              </w:rPr>
                              <w:t>RAN4 can discuss the MSD general rules, and strive to down-select among the following options</w:t>
                            </w:r>
                          </w:p>
                          <w:p w:rsidR="0000127B" w:rsidRPr="00B91222" w:rsidRDefault="0000127B" w:rsidP="0000127B">
                            <w:pPr>
                              <w:numPr>
                                <w:ilvl w:val="0"/>
                                <w:numId w:val="37"/>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PC2/PC1.5 MSD requirements are not specified. UE shall meet the Rx requirements of default power class, with default power class transmission</w:t>
                            </w:r>
                          </w:p>
                          <w:p w:rsidR="0000127B" w:rsidRDefault="0000127B" w:rsidP="0000127B">
                            <w:pPr>
                              <w:numPr>
                                <w:ilvl w:val="0"/>
                                <w:numId w:val="37"/>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Using some equations or look-up tables or other means to derive PC2/PC1.5 MSD from respective PC3 MSD</w:t>
                            </w:r>
                          </w:p>
                          <w:p w:rsidR="0000127B" w:rsidRPr="00B91222" w:rsidRDefault="0000127B" w:rsidP="0000127B">
                            <w:pPr>
                              <w:numPr>
                                <w:ilvl w:val="0"/>
                                <w:numId w:val="37"/>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Other solutions are not precluded</w:t>
                            </w:r>
                          </w:p>
                          <w:p w:rsidR="0000127B" w:rsidRPr="00B91222" w:rsidRDefault="0000127B" w:rsidP="0000127B">
                            <w:pPr>
                              <w:overflowPunct/>
                              <w:autoSpaceDE/>
                              <w:autoSpaceDN/>
                              <w:adjustRightInd/>
                              <w:spacing w:after="120"/>
                              <w:ind w:left="920"/>
                              <w:textAlignment w:val="auto"/>
                              <w:rPr>
                                <w:rFonts w:eastAsiaTheme="minorEastAsia"/>
                                <w:szCs w:val="24"/>
                                <w:lang w:eastAsia="zh-CN"/>
                              </w:rPr>
                            </w:pPr>
                            <w:r w:rsidRPr="00B91222">
                              <w:rPr>
                                <w:rFonts w:eastAsiaTheme="minorEastAsia"/>
                                <w:szCs w:val="24"/>
                                <w:lang w:eastAsia="zh-CN"/>
                              </w:rPr>
                              <w:t>NOTE: RAN4 continues normal procedure specifying MSD for all PC’s band combination supports until down-selection is done</w:t>
                            </w:r>
                          </w:p>
                          <w:p w:rsidR="0000127B" w:rsidRPr="00A95189" w:rsidRDefault="0000127B" w:rsidP="0000127B">
                            <w:pPr>
                              <w:spacing w:after="120"/>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type w14:anchorId="02DC4102" id="_x0000_t202" coordsize="21600,21600" o:spt="202" path="m,l,21600r21600,l21600,xe">
                <v:stroke joinstyle="miter"/>
                <v:path gradientshapeok="t" o:connecttype="rect"/>
              </v:shapetype>
              <v:shape id="Text Box 2" o:spid="_x0000_s1026" type="#_x0000_t202" style="width:493.25pt;height:18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">
                <v:shadow on="t" color="black" opacity="26214f" origin=",-.5" offset="0,3pt"/>
                <v:textbox>
                  <w:txbxContent>
                    <w:p w:rsidR="0000127B" w:rsidRPr="00FC3465" w:rsidRDefault="0000127B" w:rsidP="0000127B">
                      <w:pPr>
                        <w:pStyle w:val="Heading2"/>
                        <w:rPr>
                          <w:sz w:val="24"/>
                          <w:lang w:eastAsia="zh-CN"/>
                        </w:rPr>
                      </w:pPr>
                      <w:r>
                        <w:rPr>
                          <w:sz w:val="24"/>
                        </w:rPr>
                        <w:t xml:space="preserve">4.1 </w:t>
                      </w:r>
                      <w:r w:rsidRPr="00DF2393">
                        <w:rPr>
                          <w:sz w:val="24"/>
                        </w:rPr>
                        <w:t xml:space="preserve">MSD </w:t>
                      </w:r>
                      <w:r>
                        <w:rPr>
                          <w:sz w:val="24"/>
                        </w:rPr>
                        <w:t>rules</w:t>
                      </w:r>
                    </w:p>
                    <w:p w:rsidR="0000127B" w:rsidRPr="008E2845" w:rsidRDefault="0000127B" w:rsidP="0000127B">
                      <w:pPr>
                        <w:rPr>
                          <w:rFonts w:eastAsiaTheme="minorEastAsia"/>
                          <w:b/>
                          <w:lang w:eastAsia="zh-CN"/>
                        </w:rPr>
                      </w:pPr>
                      <w:r>
                        <w:rPr>
                          <w:b/>
                          <w:lang w:eastAsia="zh-CN"/>
                        </w:rPr>
                        <w:t>Way forward:</w:t>
                      </w:r>
                    </w:p>
                    <w:p w:rsidR="0000127B" w:rsidRPr="00B91222" w:rsidRDefault="0000127B" w:rsidP="0000127B">
                      <w:pPr>
                        <w:numPr>
                          <w:ilvl w:val="0"/>
                          <w:numId w:val="36"/>
                        </w:numPr>
                        <w:overflowPunct/>
                        <w:autoSpaceDE/>
                        <w:autoSpaceDN/>
                        <w:adjustRightInd/>
                        <w:spacing w:after="120"/>
                        <w:textAlignment w:val="auto"/>
                        <w:rPr>
                          <w:rFonts w:eastAsiaTheme="minorEastAsia"/>
                          <w:lang w:val="en-US"/>
                        </w:rPr>
                      </w:pPr>
                      <w:r w:rsidRPr="00B91222">
                        <w:rPr>
                          <w:rFonts w:eastAsiaTheme="minorEastAsia"/>
                          <w:lang w:val="en-US"/>
                        </w:rPr>
                        <w:t>RAN4 can discuss the MSD general rules, and strive to down-select among the following options</w:t>
                      </w:r>
                    </w:p>
                    <w:p w:rsidR="0000127B" w:rsidRPr="00B91222" w:rsidRDefault="0000127B" w:rsidP="0000127B">
                      <w:pPr>
                        <w:numPr>
                          <w:ilvl w:val="0"/>
                          <w:numId w:val="37"/>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PC2/PC1.5 MSD requirements are not specified. UE shall meet the Rx requirements of default power class, with default power class transmission</w:t>
                      </w:r>
                    </w:p>
                    <w:p w:rsidR="0000127B" w:rsidRDefault="0000127B" w:rsidP="0000127B">
                      <w:pPr>
                        <w:numPr>
                          <w:ilvl w:val="0"/>
                          <w:numId w:val="37"/>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Using some equations or look-up tables or other means to derive PC2/PC1.5 MSD from respective PC3 MSD</w:t>
                      </w:r>
                    </w:p>
                    <w:p w:rsidR="0000127B" w:rsidRPr="00B91222" w:rsidRDefault="0000127B" w:rsidP="0000127B">
                      <w:pPr>
                        <w:numPr>
                          <w:ilvl w:val="0"/>
                          <w:numId w:val="37"/>
                        </w:numPr>
                        <w:overflowPunct/>
                        <w:autoSpaceDE/>
                        <w:autoSpaceDN/>
                        <w:adjustRightInd/>
                        <w:spacing w:after="120"/>
                        <w:ind w:leftChars="250" w:left="920"/>
                        <w:textAlignment w:val="auto"/>
                        <w:rPr>
                          <w:rFonts w:eastAsiaTheme="minorEastAsia"/>
                          <w:szCs w:val="24"/>
                          <w:lang w:eastAsia="zh-CN"/>
                        </w:rPr>
                      </w:pPr>
                      <w:r w:rsidRPr="00B91222">
                        <w:rPr>
                          <w:rFonts w:eastAsiaTheme="minorEastAsia"/>
                          <w:szCs w:val="24"/>
                          <w:lang w:eastAsia="zh-CN"/>
                        </w:rPr>
                        <w:t>Other solutions are not precluded</w:t>
                      </w:r>
                    </w:p>
                    <w:p w:rsidR="0000127B" w:rsidRPr="00B91222" w:rsidRDefault="0000127B" w:rsidP="0000127B">
                      <w:pPr>
                        <w:overflowPunct/>
                        <w:autoSpaceDE/>
                        <w:autoSpaceDN/>
                        <w:adjustRightInd/>
                        <w:spacing w:after="120"/>
                        <w:ind w:left="920"/>
                        <w:textAlignment w:val="auto"/>
                        <w:rPr>
                          <w:rFonts w:eastAsiaTheme="minorEastAsia"/>
                          <w:szCs w:val="24"/>
                          <w:lang w:eastAsia="zh-CN"/>
                        </w:rPr>
                      </w:pPr>
                      <w:r w:rsidRPr="00B91222">
                        <w:rPr>
                          <w:rFonts w:eastAsiaTheme="minorEastAsia"/>
                          <w:szCs w:val="24"/>
                          <w:lang w:eastAsia="zh-CN"/>
                        </w:rPr>
                        <w:t>NOTE: RAN4 continues normal procedure specifying MSD for all PC’s band combination supports until down-selection is done</w:t>
                      </w:r>
                    </w:p>
                    <w:p w:rsidR="0000127B" w:rsidRPr="00A95189" w:rsidRDefault="0000127B" w:rsidP="0000127B">
                      <w:pPr>
                        <w:spacing w:after="120"/>
                        <w:rPr>
                          <w:rFonts w:eastAsiaTheme="minorEastAsia"/>
                          <w:lang w:eastAsia="zh-CN"/>
                        </w:rPr>
                      </w:pPr>
                    </w:p>
                  </w:txbxContent>
                </v:textbox>
                <w10:anchorlock/>
              </v:shape>
            </w:pict>
          </mc:Fallback>
        </mc:AlternateContent>
      </w:r>
    </w:p>
    <w:p w:rsidR="001055C7" w:rsidRDefault="00FC569F" w:rsidP="00BB3F9D">
      <w:pPr>
        <w:rPr>
          <w:lang w:eastAsia="zh-CN"/>
        </w:rPr>
      </w:pPr>
      <w:r w:rsidRPr="00FC569F">
        <w:rPr>
          <w:lang w:eastAsia="zh-CN"/>
        </w:rPr>
        <w:t>For each option</w:t>
      </w:r>
      <w:r>
        <w:rPr>
          <w:lang w:eastAsia="zh-CN"/>
        </w:rPr>
        <w:t xml:space="preserve"> listed in the WF [1], further clarifications are needed. For example,</w:t>
      </w:r>
    </w:p>
    <w:p w:rsidR="00FC569F" w:rsidRPr="00AD0E4E" w:rsidRDefault="00FC569F" w:rsidP="00BB3F9D">
      <w:pPr>
        <w:rPr>
          <w:b/>
          <w:lang w:eastAsia="zh-CN"/>
        </w:rPr>
      </w:pPr>
      <w:r w:rsidRPr="00AD0E4E">
        <w:rPr>
          <w:b/>
          <w:lang w:eastAsia="zh-CN"/>
        </w:rPr>
        <w:t xml:space="preserve">Observation 5: If option 1 is adopted, how to treat the existing PC2/PC1.5 MSD requirements? </w:t>
      </w:r>
      <w:r w:rsidR="00331039" w:rsidRPr="00AD0E4E">
        <w:rPr>
          <w:b/>
          <w:lang w:eastAsia="zh-CN"/>
        </w:rPr>
        <w:t>To be kept or be removed?</w:t>
      </w:r>
    </w:p>
    <w:p w:rsidR="00331039" w:rsidRPr="00AD0E4E" w:rsidRDefault="00331039" w:rsidP="00BB3F9D">
      <w:pPr>
        <w:rPr>
          <w:b/>
          <w:lang w:eastAsia="zh-CN"/>
        </w:rPr>
      </w:pPr>
      <w:r w:rsidRPr="00AD0E4E">
        <w:rPr>
          <w:b/>
          <w:lang w:eastAsia="zh-CN"/>
        </w:rPr>
        <w:t>Observation 6: If option 2 is adopted, will the equations or look-up tables be defined in the core spec? Or are they only guidelines for the HPUE basket WIs?</w:t>
      </w:r>
    </w:p>
    <w:p w:rsidR="00331039" w:rsidRPr="00AD0E4E" w:rsidRDefault="00331039" w:rsidP="00BB3F9D">
      <w:pPr>
        <w:rPr>
          <w:b/>
          <w:lang w:eastAsia="zh-CN"/>
        </w:rPr>
      </w:pPr>
      <w:r w:rsidRPr="00AD0E4E">
        <w:rPr>
          <w:b/>
          <w:lang w:eastAsia="zh-CN"/>
        </w:rPr>
        <w:t xml:space="preserve">Observation 7: </w:t>
      </w:r>
      <w:r w:rsidR="00AD0E4E" w:rsidRPr="00AD0E4E">
        <w:rPr>
          <w:b/>
          <w:lang w:eastAsia="zh-CN"/>
        </w:rPr>
        <w:t>One of the key objectives of the current HPUE CA/DC basket WIs is to study and specify the MSD requirements. If the MSD rules are to be changed, the impact to the ongoing WIs need to be clarified.</w:t>
      </w:r>
    </w:p>
    <w:p w:rsidR="00AD0E4E" w:rsidRDefault="00AD0E4E" w:rsidP="00BB3F9D">
      <w:pPr>
        <w:rPr>
          <w:lang w:eastAsia="zh-CN"/>
        </w:rPr>
      </w:pPr>
      <w:r>
        <w:rPr>
          <w:lang w:eastAsia="zh-CN"/>
        </w:rPr>
        <w:t>Based on the above observations, we make the following proposal:</w:t>
      </w:r>
    </w:p>
    <w:p w:rsidR="00AD0E4E" w:rsidRPr="00AD0E4E" w:rsidRDefault="00AD0E4E" w:rsidP="00BB3F9D">
      <w:pPr>
        <w:rPr>
          <w:b/>
          <w:lang w:eastAsia="zh-CN"/>
        </w:rPr>
      </w:pPr>
      <w:r w:rsidRPr="00AD0E4E">
        <w:rPr>
          <w:b/>
          <w:lang w:eastAsia="zh-CN"/>
        </w:rPr>
        <w:t>Proposal 6: If the MSD rules are to be changed, the impact to the existing PC2/PC1.5 MSD requirements as well as the ongoing HPUE CA/DC basket WIs need to be clarified.</w:t>
      </w:r>
    </w:p>
    <w:p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rsidR="00B17214" w:rsidRDefault="007232AE" w:rsidP="007232AE">
      <w:pPr>
        <w:rPr>
          <w:color w:val="000000"/>
          <w:lang w:val="en-US" w:eastAsia="zh-CN"/>
        </w:rPr>
      </w:pPr>
      <w:r w:rsidRPr="007232AE">
        <w:rPr>
          <w:color w:val="000000"/>
          <w:lang w:val="en-US" w:eastAsia="zh-CN"/>
        </w:rPr>
        <w:t>In this paper, we</w:t>
      </w:r>
      <w:r w:rsidR="00776F4D">
        <w:rPr>
          <w:color w:val="000000"/>
          <w:lang w:val="en-US" w:eastAsia="zh-CN"/>
        </w:rPr>
        <w:t xml:space="preserve"> </w:t>
      </w:r>
      <w:r w:rsidR="00015A0D">
        <w:rPr>
          <w:color w:val="000000"/>
          <w:lang w:val="en-US" w:eastAsia="zh-CN"/>
        </w:rPr>
        <w:t xml:space="preserve">have shared our views on </w:t>
      </w:r>
      <w:r w:rsidR="004A7BC0">
        <w:rPr>
          <w:color w:val="000000"/>
          <w:lang w:val="en-US" w:eastAsia="zh-CN"/>
        </w:rPr>
        <w:t>the general aspects</w:t>
      </w:r>
      <w:r w:rsidR="00B56D79">
        <w:rPr>
          <w:color w:val="000000"/>
          <w:lang w:val="en-US" w:eastAsia="zh-CN"/>
        </w:rPr>
        <w:t xml:space="preserve"> of PC1.5 int</w:t>
      </w:r>
      <w:r w:rsidR="00AA3026">
        <w:rPr>
          <w:color w:val="000000"/>
          <w:lang w:val="en-US" w:eastAsia="zh-CN"/>
        </w:rPr>
        <w:t>er</w:t>
      </w:r>
      <w:r w:rsidR="00B56D79">
        <w:rPr>
          <w:color w:val="000000"/>
          <w:lang w:val="en-US" w:eastAsia="zh-CN"/>
        </w:rPr>
        <w:t>-band UL CA</w:t>
      </w:r>
      <w:r w:rsidR="00AA3026">
        <w:rPr>
          <w:color w:val="000000"/>
          <w:lang w:val="en-US" w:eastAsia="zh-CN"/>
        </w:rPr>
        <w:t xml:space="preserve"> and EN-DC</w:t>
      </w:r>
      <w:r w:rsidR="007864BC">
        <w:rPr>
          <w:color w:val="000000"/>
          <w:lang w:val="en-US" w:eastAsia="zh-CN"/>
        </w:rPr>
        <w:t>.</w:t>
      </w:r>
      <w:r w:rsidR="00457E49">
        <w:rPr>
          <w:color w:val="000000"/>
          <w:lang w:val="en-US" w:eastAsia="zh-CN"/>
        </w:rPr>
        <w:t xml:space="preserve"> </w:t>
      </w:r>
    </w:p>
    <w:p w:rsidR="007232AE" w:rsidRPr="007232AE" w:rsidRDefault="00457E49" w:rsidP="007232AE">
      <w:pPr>
        <w:rPr>
          <w:color w:val="000000"/>
          <w:lang w:val="en-US" w:eastAsia="zh-CN"/>
        </w:rPr>
      </w:pPr>
      <w:r>
        <w:rPr>
          <w:color w:val="000000"/>
          <w:lang w:val="en-US" w:eastAsia="zh-CN"/>
        </w:rPr>
        <w:t xml:space="preserve">The following </w:t>
      </w:r>
      <w:r w:rsidR="00EE4542">
        <w:rPr>
          <w:color w:val="000000"/>
          <w:lang w:val="en-US" w:eastAsia="zh-CN"/>
        </w:rPr>
        <w:t xml:space="preserve">observations and </w:t>
      </w:r>
      <w:r>
        <w:rPr>
          <w:color w:val="000000"/>
          <w:lang w:val="en-US" w:eastAsia="zh-CN"/>
        </w:rPr>
        <w:t>proposals are made</w:t>
      </w:r>
      <w:r w:rsidR="00B17214">
        <w:rPr>
          <w:color w:val="000000"/>
          <w:lang w:val="en-US" w:eastAsia="zh-CN"/>
        </w:rPr>
        <w:t xml:space="preserve"> on the SAR solutions</w:t>
      </w:r>
      <w:r>
        <w:rPr>
          <w:color w:val="000000"/>
          <w:lang w:val="en-US" w:eastAsia="zh-CN"/>
        </w:rPr>
        <w:t>:</w:t>
      </w:r>
    </w:p>
    <w:p w:rsidR="00307935" w:rsidRDefault="00307935" w:rsidP="00307935">
      <w:pPr>
        <w:rPr>
          <w:b/>
          <w:bCs/>
        </w:rPr>
      </w:pPr>
      <w:r w:rsidRPr="004C0D3C">
        <w:rPr>
          <w:b/>
          <w:bCs/>
        </w:rPr>
        <w:t xml:space="preserve">Proposal </w:t>
      </w:r>
      <w:r>
        <w:rPr>
          <w:b/>
          <w:bCs/>
        </w:rPr>
        <w:t>1: UE implemented P-MPR is considered as baseline SAR solution. The duty-cycle based SAR solution can be optionally supported.</w:t>
      </w:r>
    </w:p>
    <w:p w:rsidR="00307935" w:rsidRPr="007D09B1" w:rsidRDefault="00307935" w:rsidP="00307935">
      <w:pPr>
        <w:pStyle w:val="Caption"/>
        <w:snapToGrid w:val="0"/>
        <w:rPr>
          <w:b w:val="0"/>
          <w:bCs w:val="0"/>
          <w:lang w:eastAsia="zh-CN"/>
        </w:rPr>
      </w:pPr>
      <w:r>
        <w:t>Proposal 2</w:t>
      </w:r>
      <w:r w:rsidRPr="003232BA">
        <w:t xml:space="preserve">: The </w:t>
      </w:r>
      <w:r>
        <w:t xml:space="preserve">duty-cycle based </w:t>
      </w:r>
      <w:r w:rsidRPr="00DC3373">
        <w:t xml:space="preserve">SAR solution </w:t>
      </w:r>
      <w:r>
        <w:t>for</w:t>
      </w:r>
      <w:r w:rsidRPr="00DC3373">
        <w:t xml:space="preserve"> </w:t>
      </w:r>
      <w:r w:rsidRPr="00DF7682">
        <w:t>PC2 and PC1.5</w:t>
      </w:r>
      <w:r>
        <w:t xml:space="preserve"> </w:t>
      </w:r>
      <w:r w:rsidRPr="00DC3373">
        <w:t xml:space="preserve">intra-band CA can be unified based on the current structure of the SAR solution </w:t>
      </w:r>
      <w:r>
        <w:t>f</w:t>
      </w:r>
      <w:r w:rsidRPr="00DC3373">
        <w:t>o</w:t>
      </w:r>
      <w:r>
        <w:t>r</w:t>
      </w:r>
      <w:r w:rsidRPr="00DC3373">
        <w:t xml:space="preserve"> PC2. And there is no difference of </w:t>
      </w:r>
      <w:r>
        <w:t xml:space="preserve">the </w:t>
      </w:r>
      <w:r w:rsidRPr="00DC3373">
        <w:t>SAR solution between intra-band contiguous and non-contiguous CA.</w:t>
      </w:r>
    </w:p>
    <w:p w:rsidR="00307935" w:rsidRPr="00DC3373" w:rsidRDefault="00307935" w:rsidP="00307935">
      <w:pPr>
        <w:pStyle w:val="Caption"/>
        <w:snapToGrid w:val="0"/>
      </w:pPr>
      <w:r>
        <w:t>Proposal 3</w:t>
      </w:r>
      <w:r w:rsidRPr="00DC3373">
        <w:t xml:space="preserve">: The </w:t>
      </w:r>
      <w:r>
        <w:t>duty-cycle based S</w:t>
      </w:r>
      <w:r w:rsidRPr="00DC3373">
        <w:t xml:space="preserve">AR solution </w:t>
      </w:r>
      <w:r>
        <w:t>for</w:t>
      </w:r>
      <w:r w:rsidRPr="00DC3373">
        <w:t xml:space="preserve"> int</w:t>
      </w:r>
      <w:r>
        <w:t>e</w:t>
      </w:r>
      <w:r w:rsidRPr="00DC3373">
        <w:t xml:space="preserve">r-band CA in PC2 and PC1.5 can be unified based on the current structure of the SAR solution </w:t>
      </w:r>
      <w:r>
        <w:t>for</w:t>
      </w:r>
      <w:r w:rsidRPr="00DC3373">
        <w:t xml:space="preserve"> PC2 without</w:t>
      </w:r>
      <w:r w:rsidRPr="00A635A5">
        <w:t xml:space="preserve"> </w:t>
      </w:r>
      <w:r w:rsidRPr="00DC3373">
        <w:t>differentiation of duplex mode.</w:t>
      </w:r>
      <w:r w:rsidRPr="00A635A5">
        <w:t xml:space="preserve"> </w:t>
      </w:r>
      <w:r w:rsidRPr="00DC3373">
        <w:t xml:space="preserve">The SAR solutions specified for PC1.5 inter-band CA with 2Tx can be </w:t>
      </w:r>
      <w:r>
        <w:t>unified with</w:t>
      </w:r>
      <w:r w:rsidRPr="00DC3373">
        <w:t xml:space="preserve"> that </w:t>
      </w:r>
      <w:r>
        <w:t>for</w:t>
      </w:r>
      <w:r w:rsidRPr="00DC3373">
        <w:t xml:space="preserve"> 3Tx.</w:t>
      </w:r>
    </w:p>
    <w:p w:rsidR="00307935" w:rsidRPr="00DC3373" w:rsidRDefault="00307935" w:rsidP="00307935">
      <w:pPr>
        <w:widowControl w:val="0"/>
        <w:overflowPunct/>
        <w:autoSpaceDE/>
        <w:autoSpaceDN/>
        <w:adjustRightInd/>
        <w:spacing w:before="120" w:after="120"/>
        <w:jc w:val="both"/>
        <w:textAlignment w:val="auto"/>
        <w:rPr>
          <w:rFonts w:eastAsia="MS Mincho"/>
          <w:b/>
          <w:lang w:eastAsia="en-US"/>
        </w:rPr>
      </w:pPr>
      <w:r w:rsidRPr="00DC3373">
        <w:rPr>
          <w:rFonts w:eastAsia="MS Mincho"/>
          <w:b/>
          <w:lang w:eastAsia="en-US"/>
        </w:rPr>
        <w:t xml:space="preserve">Observation </w:t>
      </w:r>
      <w:r>
        <w:rPr>
          <w:rFonts w:eastAsia="MS Mincho"/>
          <w:b/>
          <w:lang w:eastAsia="en-US"/>
        </w:rPr>
        <w:t>1</w:t>
      </w:r>
      <w:r w:rsidRPr="00DC3373">
        <w:rPr>
          <w:rFonts w:eastAsia="MS Mincho"/>
          <w:b/>
          <w:lang w:eastAsia="en-US"/>
        </w:rPr>
        <w:t>: The SAR solution to inter-band EN-DC with PC3 FDD+ PC3 FDD may be supported in Rel-19.</w:t>
      </w:r>
    </w:p>
    <w:p w:rsidR="00307935" w:rsidRPr="0090761E" w:rsidRDefault="00307935" w:rsidP="00307935">
      <w:pPr>
        <w:widowControl w:val="0"/>
        <w:overflowPunct/>
        <w:autoSpaceDE/>
        <w:autoSpaceDN/>
        <w:adjustRightInd/>
        <w:snapToGrid w:val="0"/>
        <w:spacing w:before="180" w:after="120"/>
        <w:jc w:val="both"/>
        <w:textAlignment w:val="auto"/>
        <w:rPr>
          <w:rFonts w:eastAsia="MS Mincho"/>
          <w:b/>
          <w:lang w:eastAsia="en-US"/>
        </w:rPr>
      </w:pPr>
      <w:r w:rsidRPr="0090761E">
        <w:rPr>
          <w:rFonts w:eastAsia="MS Mincho"/>
          <w:b/>
          <w:lang w:eastAsia="en-US"/>
        </w:rPr>
        <w:t xml:space="preserve">Observation </w:t>
      </w:r>
      <w:r>
        <w:rPr>
          <w:rFonts w:eastAsia="MS Mincho"/>
          <w:b/>
          <w:lang w:eastAsia="en-US"/>
        </w:rPr>
        <w:t>2</w:t>
      </w:r>
      <w:r w:rsidRPr="0090761E">
        <w:rPr>
          <w:rFonts w:eastAsia="MS Mincho"/>
          <w:b/>
          <w:lang w:eastAsia="en-US"/>
        </w:rPr>
        <w:t>: A duty cycle capability for 2Tx FDD+FDD inter-band EN-DC band combination with PC2 may be introduced in Rel-19.</w:t>
      </w:r>
    </w:p>
    <w:p w:rsidR="00307935" w:rsidRPr="0090761E" w:rsidRDefault="00307935" w:rsidP="00307935">
      <w:pPr>
        <w:widowControl w:val="0"/>
        <w:overflowPunct/>
        <w:autoSpaceDE/>
        <w:autoSpaceDN/>
        <w:adjustRightInd/>
        <w:snapToGrid w:val="0"/>
        <w:spacing w:before="120" w:after="120"/>
        <w:jc w:val="both"/>
        <w:textAlignment w:val="auto"/>
        <w:rPr>
          <w:rFonts w:eastAsia="MS Mincho"/>
          <w:b/>
          <w:lang w:eastAsia="en-US"/>
        </w:rPr>
      </w:pPr>
      <w:r w:rsidRPr="0090761E">
        <w:rPr>
          <w:rFonts w:eastAsia="MS Mincho"/>
          <w:b/>
          <w:lang w:eastAsia="en-US"/>
        </w:rPr>
        <w:t xml:space="preserve">Observation </w:t>
      </w:r>
      <w:r>
        <w:rPr>
          <w:rFonts w:eastAsia="MS Mincho"/>
          <w:b/>
          <w:lang w:eastAsia="en-US"/>
        </w:rPr>
        <w:t>3</w:t>
      </w:r>
      <w:r w:rsidRPr="0090761E">
        <w:rPr>
          <w:rFonts w:eastAsia="MS Mincho"/>
          <w:b/>
          <w:lang w:eastAsia="en-US"/>
        </w:rPr>
        <w:t>: The 2Tx inter-band EN-DC with PC2 TDD+ PC2 TDD in PC1.5 and the corresponding SAR solution may be supported in Rel-19.</w:t>
      </w:r>
    </w:p>
    <w:p w:rsidR="00307935" w:rsidRPr="0090761E" w:rsidRDefault="00307935" w:rsidP="00307935">
      <w:pPr>
        <w:widowControl w:val="0"/>
        <w:overflowPunct/>
        <w:autoSpaceDE/>
        <w:autoSpaceDN/>
        <w:adjustRightInd/>
        <w:snapToGrid w:val="0"/>
        <w:spacing w:before="120" w:after="120"/>
        <w:jc w:val="both"/>
        <w:textAlignment w:val="auto"/>
        <w:rPr>
          <w:rFonts w:eastAsia="MS Mincho"/>
          <w:b/>
          <w:lang w:eastAsia="en-US"/>
        </w:rPr>
      </w:pPr>
      <w:r w:rsidRPr="0090761E">
        <w:rPr>
          <w:rFonts w:eastAsia="MS Mincho"/>
          <w:b/>
          <w:lang w:eastAsia="en-US"/>
        </w:rPr>
        <w:t xml:space="preserve">Observation </w:t>
      </w:r>
      <w:r>
        <w:rPr>
          <w:rFonts w:eastAsia="MS Mincho"/>
          <w:b/>
          <w:lang w:eastAsia="en-US"/>
        </w:rPr>
        <w:t>4</w:t>
      </w:r>
      <w:r w:rsidRPr="0090761E">
        <w:rPr>
          <w:rFonts w:eastAsia="MS Mincho"/>
          <w:b/>
          <w:lang w:eastAsia="en-US"/>
        </w:rPr>
        <w:t xml:space="preserve">: It is not necessary to </w:t>
      </w:r>
      <w:r>
        <w:rPr>
          <w:rFonts w:eastAsia="MS Mincho"/>
          <w:b/>
          <w:lang w:eastAsia="en-US"/>
        </w:rPr>
        <w:t xml:space="preserve">further </w:t>
      </w:r>
      <w:r w:rsidRPr="0090761E">
        <w:rPr>
          <w:rFonts w:eastAsia="MS Mincho"/>
          <w:b/>
          <w:lang w:eastAsia="en-US"/>
        </w:rPr>
        <w:t xml:space="preserve">consider SAR solution to 3Tx inter-band EN-DC with PC2/PC1.5 </w:t>
      </w:r>
      <w:r>
        <w:rPr>
          <w:rFonts w:eastAsia="MS Mincho"/>
          <w:b/>
          <w:lang w:eastAsia="en-US"/>
        </w:rPr>
        <w:t>in Rel-19</w:t>
      </w:r>
      <w:r w:rsidRPr="0090761E">
        <w:rPr>
          <w:rFonts w:eastAsia="MS Mincho"/>
          <w:b/>
          <w:lang w:eastAsia="en-US"/>
        </w:rPr>
        <w:t xml:space="preserve">, given that no </w:t>
      </w:r>
      <w:r>
        <w:rPr>
          <w:rFonts w:eastAsia="MS Mincho"/>
          <w:b/>
          <w:lang w:eastAsia="en-US"/>
        </w:rPr>
        <w:t xml:space="preserve">new </w:t>
      </w:r>
      <w:r w:rsidRPr="0090761E">
        <w:rPr>
          <w:rFonts w:eastAsia="MS Mincho"/>
          <w:b/>
          <w:lang w:eastAsia="en-US"/>
        </w:rPr>
        <w:t>demand</w:t>
      </w:r>
      <w:r>
        <w:rPr>
          <w:rFonts w:eastAsia="MS Mincho"/>
          <w:b/>
          <w:lang w:eastAsia="en-US"/>
        </w:rPr>
        <w:t xml:space="preserve"> different from that in Rel-18</w:t>
      </w:r>
      <w:r w:rsidRPr="0090761E">
        <w:rPr>
          <w:rFonts w:eastAsia="MS Mincho"/>
          <w:b/>
          <w:lang w:eastAsia="en-US"/>
        </w:rPr>
        <w:t xml:space="preserve"> from operators until now.</w:t>
      </w:r>
    </w:p>
    <w:p w:rsidR="00307935" w:rsidRPr="009C631A" w:rsidRDefault="00307935" w:rsidP="00307935">
      <w:pPr>
        <w:widowControl w:val="0"/>
        <w:overflowPunct/>
        <w:autoSpaceDE/>
        <w:autoSpaceDN/>
        <w:adjustRightInd/>
        <w:snapToGrid w:val="0"/>
        <w:spacing w:after="120"/>
        <w:jc w:val="both"/>
        <w:textAlignment w:val="auto"/>
        <w:rPr>
          <w:lang w:eastAsia="zh-CN"/>
        </w:rPr>
      </w:pPr>
    </w:p>
    <w:p w:rsidR="00307935" w:rsidRPr="001E5E5C" w:rsidRDefault="00307935" w:rsidP="00307935">
      <w:pPr>
        <w:widowControl w:val="0"/>
        <w:overflowPunct/>
        <w:autoSpaceDE/>
        <w:autoSpaceDN/>
        <w:adjustRightInd/>
        <w:snapToGrid w:val="0"/>
        <w:spacing w:before="120" w:after="60"/>
        <w:jc w:val="both"/>
        <w:textAlignment w:val="auto"/>
        <w:rPr>
          <w:rFonts w:eastAsia="MS Mincho"/>
          <w:b/>
          <w:lang w:eastAsia="en-US"/>
        </w:rPr>
      </w:pPr>
      <w:r w:rsidRPr="001E5E5C">
        <w:rPr>
          <w:rFonts w:eastAsia="MS Mincho"/>
          <w:b/>
          <w:lang w:eastAsia="en-US"/>
        </w:rPr>
        <w:t xml:space="preserve">Proposal </w:t>
      </w:r>
      <w:r>
        <w:rPr>
          <w:rFonts w:eastAsia="MS Mincho"/>
          <w:b/>
          <w:lang w:eastAsia="en-US"/>
        </w:rPr>
        <w:t>4</w:t>
      </w:r>
      <w:r w:rsidRPr="001E5E5C">
        <w:rPr>
          <w:rFonts w:eastAsia="MS Mincho"/>
          <w:b/>
          <w:lang w:eastAsia="en-US"/>
        </w:rPr>
        <w:t xml:space="preserve">: The </w:t>
      </w:r>
      <w:r>
        <w:rPr>
          <w:rFonts w:eastAsia="MS Mincho"/>
          <w:b/>
          <w:lang w:eastAsia="en-US"/>
        </w:rPr>
        <w:t xml:space="preserve">duty-cycle based </w:t>
      </w:r>
      <w:r w:rsidRPr="001E5E5C">
        <w:rPr>
          <w:rFonts w:eastAsia="MS Mincho"/>
          <w:b/>
          <w:lang w:eastAsia="en-US"/>
        </w:rPr>
        <w:t xml:space="preserve">SAR solution </w:t>
      </w:r>
      <w:r>
        <w:rPr>
          <w:rFonts w:eastAsia="MS Mincho"/>
          <w:b/>
          <w:lang w:eastAsia="en-US"/>
        </w:rPr>
        <w:t>may be specified for the following cases:</w:t>
      </w:r>
    </w:p>
    <w:tbl>
      <w:tblPr>
        <w:tblStyle w:val="1"/>
        <w:tblW w:w="0" w:type="auto"/>
        <w:tblLook w:val="04A0" w:firstRow="1" w:lastRow="0" w:firstColumn="1" w:lastColumn="0" w:noHBand="0" w:noVBand="1"/>
      </w:tblPr>
      <w:tblGrid>
        <w:gridCol w:w="2100"/>
        <w:gridCol w:w="2158"/>
        <w:gridCol w:w="2896"/>
        <w:gridCol w:w="2701"/>
      </w:tblGrid>
      <w:tr w:rsidR="00307935" w:rsidRPr="009C631A" w:rsidTr="007879BA">
        <w:tc>
          <w:tcPr>
            <w:tcW w:w="2100" w:type="dxa"/>
          </w:tcPr>
          <w:p w:rsidR="00307935" w:rsidRPr="005C0BA2" w:rsidRDefault="00307935" w:rsidP="007879BA">
            <w:pPr>
              <w:overflowPunct/>
              <w:autoSpaceDE/>
              <w:autoSpaceDN/>
              <w:adjustRightInd/>
              <w:snapToGrid w:val="0"/>
              <w:spacing w:before="0" w:after="0" w:line="240" w:lineRule="auto"/>
              <w:textAlignment w:val="auto"/>
              <w:rPr>
                <w:kern w:val="2"/>
                <w:sz w:val="21"/>
                <w:szCs w:val="22"/>
                <w:lang w:eastAsia="en-US"/>
              </w:rPr>
            </w:pPr>
          </w:p>
        </w:tc>
        <w:tc>
          <w:tcPr>
            <w:tcW w:w="2158" w:type="dxa"/>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c>
          <w:tcPr>
            <w:tcW w:w="2896"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PC2</w:t>
            </w:r>
          </w:p>
        </w:tc>
        <w:tc>
          <w:tcPr>
            <w:tcW w:w="2701"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PC1.5</w:t>
            </w:r>
          </w:p>
        </w:tc>
      </w:tr>
      <w:tr w:rsidR="00307935" w:rsidRPr="009C631A" w:rsidTr="007879BA">
        <w:tc>
          <w:tcPr>
            <w:tcW w:w="2100" w:type="dxa"/>
            <w:vMerge w:val="restart"/>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CA</w:t>
            </w:r>
          </w:p>
        </w:tc>
        <w:tc>
          <w:tcPr>
            <w:tcW w:w="2158"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2Tx</w:t>
            </w:r>
          </w:p>
        </w:tc>
        <w:tc>
          <w:tcPr>
            <w:tcW w:w="2896" w:type="dxa"/>
            <w:vMerge w:val="restart"/>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val="restart"/>
            <w:shd w:val="clear" w:color="auto" w:fill="FFC000"/>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Pr>
                <w:rFonts w:ascii="Arial" w:hAnsi="Arial" w:cs="Arial"/>
                <w:b/>
                <w:color w:val="000000"/>
                <w:kern w:val="2"/>
                <w:sz w:val="18"/>
                <w:szCs w:val="18"/>
                <w:lang w:val="en-US" w:eastAsia="zh-CN"/>
              </w:rPr>
              <w:t>needed</w:t>
            </w:r>
          </w:p>
        </w:tc>
      </w:tr>
      <w:tr w:rsidR="00307935" w:rsidRPr="009C631A" w:rsidTr="007879BA">
        <w:tc>
          <w:tcPr>
            <w:tcW w:w="2100" w:type="dxa"/>
            <w:vMerge/>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3Tx</w:t>
            </w:r>
          </w:p>
        </w:tc>
        <w:tc>
          <w:tcPr>
            <w:tcW w:w="2896" w:type="dxa"/>
            <w:vMerge/>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shd w:val="clear" w:color="auto" w:fill="FFC000"/>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r>
      <w:tr w:rsidR="00307935" w:rsidRPr="009C631A" w:rsidTr="007879BA">
        <w:tc>
          <w:tcPr>
            <w:tcW w:w="2100" w:type="dxa"/>
            <w:vMerge w:val="restart"/>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EN-DC</w:t>
            </w:r>
          </w:p>
        </w:tc>
        <w:tc>
          <w:tcPr>
            <w:tcW w:w="2158"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FDD + FDD</w:t>
            </w:r>
          </w:p>
        </w:tc>
        <w:tc>
          <w:tcPr>
            <w:tcW w:w="2896" w:type="dxa"/>
            <w:shd w:val="clear" w:color="auto" w:fill="FFC000"/>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Pr>
                <w:rFonts w:ascii="Arial" w:hAnsi="Arial" w:cs="Arial"/>
                <w:b/>
                <w:color w:val="000000"/>
                <w:kern w:val="2"/>
                <w:sz w:val="18"/>
                <w:szCs w:val="18"/>
                <w:lang w:val="en-US" w:eastAsia="zh-CN"/>
              </w:rPr>
              <w:t>needed</w:t>
            </w:r>
          </w:p>
        </w:tc>
        <w:tc>
          <w:tcPr>
            <w:tcW w:w="2701" w:type="dxa"/>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r>
      <w:tr w:rsidR="00307935" w:rsidRPr="009C631A" w:rsidTr="007879BA">
        <w:tc>
          <w:tcPr>
            <w:tcW w:w="2100" w:type="dxa"/>
            <w:vMerge/>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TDD + TDD</w:t>
            </w:r>
          </w:p>
        </w:tc>
        <w:tc>
          <w:tcPr>
            <w:tcW w:w="2896" w:type="dxa"/>
          </w:tcPr>
          <w:p w:rsidR="00307935" w:rsidRPr="009C631A" w:rsidRDefault="00307935" w:rsidP="007879BA">
            <w:pPr>
              <w:overflowPunct/>
              <w:autoSpaceDE/>
              <w:autoSpaceDN/>
              <w:adjustRightInd/>
              <w:snapToGrid w:val="0"/>
              <w:spacing w:before="0" w:after="0" w:line="240" w:lineRule="auto"/>
              <w:textAlignment w:val="auto"/>
              <w:rPr>
                <w:kern w:val="2"/>
                <w:sz w:val="21"/>
                <w:szCs w:val="22"/>
                <w:lang w:val="en-US" w:eastAsia="en-US"/>
              </w:rPr>
            </w:pPr>
          </w:p>
        </w:tc>
        <w:tc>
          <w:tcPr>
            <w:tcW w:w="2701" w:type="dxa"/>
            <w:shd w:val="clear" w:color="auto" w:fill="FFC000"/>
            <w:vAlign w:val="center"/>
          </w:tcPr>
          <w:p w:rsidR="00307935" w:rsidRPr="009C631A" w:rsidRDefault="00307935" w:rsidP="007879BA">
            <w:pPr>
              <w:overflowPunct/>
              <w:autoSpaceDE/>
              <w:autoSpaceDN/>
              <w:adjustRightInd/>
              <w:snapToGrid w:val="0"/>
              <w:spacing w:before="0" w:after="0" w:line="240" w:lineRule="auto"/>
              <w:jc w:val="center"/>
              <w:textAlignment w:val="auto"/>
              <w:rPr>
                <w:kern w:val="2"/>
                <w:sz w:val="21"/>
                <w:szCs w:val="22"/>
                <w:lang w:val="en-US" w:eastAsia="en-US"/>
              </w:rPr>
            </w:pPr>
            <w:r>
              <w:rPr>
                <w:rFonts w:ascii="Arial" w:hAnsi="Arial" w:cs="Arial"/>
                <w:b/>
                <w:color w:val="000000"/>
                <w:kern w:val="2"/>
                <w:sz w:val="18"/>
                <w:szCs w:val="18"/>
                <w:lang w:val="en-US" w:eastAsia="zh-CN"/>
              </w:rPr>
              <w:t>needed</w:t>
            </w:r>
          </w:p>
        </w:tc>
      </w:tr>
    </w:tbl>
    <w:p w:rsidR="00307935" w:rsidRDefault="00307935" w:rsidP="00307935"/>
    <w:p w:rsidR="00307935" w:rsidRPr="009C631A" w:rsidRDefault="00307935" w:rsidP="00307935">
      <w:r w:rsidRPr="004C0D3C">
        <w:rPr>
          <w:b/>
          <w:bCs/>
        </w:rPr>
        <w:t xml:space="preserve">Proposal </w:t>
      </w:r>
      <w:r>
        <w:rPr>
          <w:b/>
          <w:bCs/>
        </w:rPr>
        <w:t>5: If no consensus on the SAR solution, leave the issue to UE implementation (i.e., P-MPR).</w:t>
      </w:r>
    </w:p>
    <w:p w:rsidR="00F258FB" w:rsidRDefault="00307935" w:rsidP="00F258FB">
      <w:r>
        <w:t xml:space="preserve">Regarding MSD rules, </w:t>
      </w:r>
      <w:r w:rsidR="00246E75">
        <w:t>our views are</w:t>
      </w:r>
      <w:r>
        <w:t>:</w:t>
      </w:r>
    </w:p>
    <w:p w:rsidR="00307935" w:rsidRPr="00AD0E4E" w:rsidRDefault="00307935" w:rsidP="00307935">
      <w:pPr>
        <w:rPr>
          <w:b/>
          <w:lang w:eastAsia="zh-CN"/>
        </w:rPr>
      </w:pPr>
      <w:r w:rsidRPr="00AD0E4E">
        <w:rPr>
          <w:b/>
          <w:lang w:eastAsia="zh-CN"/>
        </w:rPr>
        <w:t>Observation 5: If option 1 is adopted, how to treat the existing PC2/PC1.5 MSD requirements? To be kept or be removed?</w:t>
      </w:r>
    </w:p>
    <w:p w:rsidR="00307935" w:rsidRPr="00AD0E4E" w:rsidRDefault="00307935" w:rsidP="00307935">
      <w:pPr>
        <w:rPr>
          <w:b/>
          <w:lang w:eastAsia="zh-CN"/>
        </w:rPr>
      </w:pPr>
      <w:r w:rsidRPr="00AD0E4E">
        <w:rPr>
          <w:b/>
          <w:lang w:eastAsia="zh-CN"/>
        </w:rPr>
        <w:t>Observation 6: If option 2 is adopted, will the equations or look-up tables be defined in the core spec? Or are they only guidelines for the HPUE basket WIs?</w:t>
      </w:r>
    </w:p>
    <w:p w:rsidR="00307935" w:rsidRPr="00AD0E4E" w:rsidRDefault="00307935" w:rsidP="00307935">
      <w:pPr>
        <w:rPr>
          <w:b/>
          <w:lang w:eastAsia="zh-CN"/>
        </w:rPr>
      </w:pPr>
      <w:r w:rsidRPr="00AD0E4E">
        <w:rPr>
          <w:b/>
          <w:lang w:eastAsia="zh-CN"/>
        </w:rPr>
        <w:t>Observation 7: One of the key objectives of the current HPUE CA/DC basket WIs is to study and specify the MSD requirements. If the MSD rules are to be changed, the impact to the ongoing WIs need to be clarified.</w:t>
      </w:r>
    </w:p>
    <w:p w:rsidR="00307935" w:rsidRPr="00AD0E4E" w:rsidRDefault="00307935" w:rsidP="00307935">
      <w:pPr>
        <w:rPr>
          <w:b/>
          <w:lang w:eastAsia="zh-CN"/>
        </w:rPr>
      </w:pPr>
      <w:r w:rsidRPr="00AD0E4E">
        <w:rPr>
          <w:b/>
          <w:lang w:eastAsia="zh-CN"/>
        </w:rPr>
        <w:t>Proposal 6: If the MSD rules are to be changed, the impact to the existing PC2/PC1.5 MSD requirements as well as the ongoing HPUE CA/DC basket WIs need to be clarified.</w:t>
      </w: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References</w:t>
      </w:r>
    </w:p>
    <w:p w:rsidR="001D505D" w:rsidRDefault="001D505D" w:rsidP="007232AE">
      <w:pPr>
        <w:pStyle w:val="ListParagraph"/>
        <w:numPr>
          <w:ilvl w:val="0"/>
          <w:numId w:val="5"/>
        </w:numPr>
        <w:rPr>
          <w:lang w:eastAsia="zh-CN"/>
        </w:rPr>
      </w:pPr>
      <w:r>
        <w:rPr>
          <w:lang w:eastAsia="zh-CN"/>
        </w:rPr>
        <w:t>R4-24</w:t>
      </w:r>
      <w:r w:rsidR="0000127B">
        <w:rPr>
          <w:lang w:eastAsia="zh-CN"/>
        </w:rPr>
        <w:t>14277</w:t>
      </w:r>
      <w:r>
        <w:rPr>
          <w:lang w:eastAsia="zh-CN"/>
        </w:rPr>
        <w:t xml:space="preserve"> </w:t>
      </w:r>
      <w:r w:rsidR="00C82F31" w:rsidRPr="00C82F31">
        <w:rPr>
          <w:lang w:eastAsia="zh-CN"/>
        </w:rPr>
        <w:t xml:space="preserve">WF on HPUE </w:t>
      </w:r>
      <w:r w:rsidR="0000127B">
        <w:rPr>
          <w:lang w:eastAsia="zh-CN"/>
        </w:rPr>
        <w:t xml:space="preserve">for </w:t>
      </w:r>
      <w:r w:rsidR="00C82F31" w:rsidRPr="00C82F31">
        <w:rPr>
          <w:lang w:eastAsia="zh-CN"/>
        </w:rPr>
        <w:t xml:space="preserve">CA </w:t>
      </w:r>
      <w:r w:rsidR="0000127B">
        <w:rPr>
          <w:lang w:eastAsia="zh-CN"/>
        </w:rPr>
        <w:t>in TN</w:t>
      </w:r>
      <w:r>
        <w:rPr>
          <w:lang w:eastAsia="zh-CN"/>
        </w:rPr>
        <w:t xml:space="preserve">, </w:t>
      </w:r>
      <w:r w:rsidR="00C82F31">
        <w:rPr>
          <w:lang w:eastAsia="zh-CN"/>
        </w:rPr>
        <w:t>Samsung</w:t>
      </w:r>
      <w:r w:rsidR="00006E0B">
        <w:rPr>
          <w:lang w:eastAsia="zh-CN"/>
        </w:rPr>
        <w:t>,</w:t>
      </w:r>
      <w:r>
        <w:rPr>
          <w:lang w:eastAsia="zh-CN"/>
        </w:rPr>
        <w:t xml:space="preserve"> RAN4#11</w:t>
      </w:r>
      <w:r w:rsidR="00256994">
        <w:rPr>
          <w:lang w:eastAsia="zh-CN"/>
        </w:rPr>
        <w:t>2</w:t>
      </w:r>
    </w:p>
    <w:p w:rsidR="00256994" w:rsidRDefault="00256994" w:rsidP="001C7E46">
      <w:pPr>
        <w:pStyle w:val="ListParagraph"/>
        <w:numPr>
          <w:ilvl w:val="0"/>
          <w:numId w:val="5"/>
        </w:numPr>
        <w:rPr>
          <w:lang w:eastAsia="zh-CN"/>
        </w:rPr>
      </w:pPr>
      <w:r>
        <w:rPr>
          <w:lang w:eastAsia="zh-CN"/>
        </w:rPr>
        <w:t>R4-2409643 Discussion on PC1.5 for intra-band CA, Huawei, HiSilicon, RAN4#111</w:t>
      </w:r>
    </w:p>
    <w:p w:rsidR="00476C4E" w:rsidRDefault="006D2C48" w:rsidP="008A5BCC">
      <w:pPr>
        <w:pStyle w:val="ListParagraph"/>
        <w:numPr>
          <w:ilvl w:val="0"/>
          <w:numId w:val="5"/>
        </w:numPr>
        <w:rPr>
          <w:lang w:eastAsia="zh-CN"/>
        </w:rPr>
      </w:pPr>
      <w:r>
        <w:rPr>
          <w:lang w:eastAsia="zh-CN"/>
        </w:rPr>
        <w:t>R4-2409644 Discussion on PC1.5 for inter-band UL CA and EN-DC, Huawei, HiSilicon, RAN4#111</w:t>
      </w:r>
    </w:p>
    <w:sectPr w:rsidR="00476C4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7E8" w:rsidRDefault="007B67E8">
      <w:pPr>
        <w:spacing w:after="0"/>
      </w:pPr>
      <w:r>
        <w:separator/>
      </w:r>
    </w:p>
  </w:endnote>
  <w:endnote w:type="continuationSeparator" w:id="0">
    <w:p w:rsidR="007B67E8" w:rsidRDefault="007B67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altName w:val="Tahoma"/>
    <w:panose1 w:val="02040503060506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MS Mincho">
    <w:altName w:val="Yu Gothic"/>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7E8" w:rsidRDefault="007B67E8">
      <w:pPr>
        <w:spacing w:after="0"/>
      </w:pPr>
      <w:r>
        <w:separator/>
      </w:r>
    </w:p>
  </w:footnote>
  <w:footnote w:type="continuationSeparator" w:id="0">
    <w:p w:rsidR="007B67E8" w:rsidRDefault="007B67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8150F0"/>
    <w:multiLevelType w:val="multilevel"/>
    <w:tmpl w:val="7F62399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13771"/>
    <w:multiLevelType w:val="hybridMultilevel"/>
    <w:tmpl w:val="59102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432129"/>
    <w:multiLevelType w:val="hybridMultilevel"/>
    <w:tmpl w:val="CE8661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743DDE"/>
    <w:multiLevelType w:val="multilevel"/>
    <w:tmpl w:val="38E6344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B26626B"/>
    <w:multiLevelType w:val="hybridMultilevel"/>
    <w:tmpl w:val="CCECF788"/>
    <w:lvl w:ilvl="0" w:tplc="527605F4">
      <w:start w:val="2"/>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8" w15:restartNumberingAfterBreak="0">
    <w:nsid w:val="0D9A7B94"/>
    <w:multiLevelType w:val="hybridMultilevel"/>
    <w:tmpl w:val="0DEC6C7A"/>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C6E6229"/>
    <w:multiLevelType w:val="hybridMultilevel"/>
    <w:tmpl w:val="E7EE51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5C6C69"/>
    <w:multiLevelType w:val="hybridMultilevel"/>
    <w:tmpl w:val="1A069E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C31C7"/>
    <w:multiLevelType w:val="hybridMultilevel"/>
    <w:tmpl w:val="956CBEBE"/>
    <w:lvl w:ilvl="0" w:tplc="20000001">
      <w:start w:val="1"/>
      <w:numFmt w:val="bullet"/>
      <w:lvlText w:val=""/>
      <w:lvlJc w:val="left"/>
      <w:pPr>
        <w:ind w:left="1180" w:hanging="360"/>
      </w:pPr>
      <w:rPr>
        <w:rFonts w:ascii="Symbol" w:hAnsi="Symbol" w:hint="default"/>
      </w:rPr>
    </w:lvl>
    <w:lvl w:ilvl="1" w:tplc="20000003" w:tentative="1">
      <w:start w:val="1"/>
      <w:numFmt w:val="bullet"/>
      <w:lvlText w:val="o"/>
      <w:lvlJc w:val="left"/>
      <w:pPr>
        <w:ind w:left="1900" w:hanging="360"/>
      </w:pPr>
      <w:rPr>
        <w:rFonts w:ascii="Courier New" w:hAnsi="Courier New" w:cs="Courier New" w:hint="default"/>
      </w:rPr>
    </w:lvl>
    <w:lvl w:ilvl="2" w:tplc="20000005" w:tentative="1">
      <w:start w:val="1"/>
      <w:numFmt w:val="bullet"/>
      <w:lvlText w:val=""/>
      <w:lvlJc w:val="left"/>
      <w:pPr>
        <w:ind w:left="2620" w:hanging="360"/>
      </w:pPr>
      <w:rPr>
        <w:rFonts w:ascii="Wingdings" w:hAnsi="Wingdings" w:hint="default"/>
      </w:rPr>
    </w:lvl>
    <w:lvl w:ilvl="3" w:tplc="20000001" w:tentative="1">
      <w:start w:val="1"/>
      <w:numFmt w:val="bullet"/>
      <w:lvlText w:val=""/>
      <w:lvlJc w:val="left"/>
      <w:pPr>
        <w:ind w:left="3340" w:hanging="360"/>
      </w:pPr>
      <w:rPr>
        <w:rFonts w:ascii="Symbol" w:hAnsi="Symbol" w:hint="default"/>
      </w:rPr>
    </w:lvl>
    <w:lvl w:ilvl="4" w:tplc="20000003" w:tentative="1">
      <w:start w:val="1"/>
      <w:numFmt w:val="bullet"/>
      <w:lvlText w:val="o"/>
      <w:lvlJc w:val="left"/>
      <w:pPr>
        <w:ind w:left="4060" w:hanging="360"/>
      </w:pPr>
      <w:rPr>
        <w:rFonts w:ascii="Courier New" w:hAnsi="Courier New" w:cs="Courier New" w:hint="default"/>
      </w:rPr>
    </w:lvl>
    <w:lvl w:ilvl="5" w:tplc="20000005" w:tentative="1">
      <w:start w:val="1"/>
      <w:numFmt w:val="bullet"/>
      <w:lvlText w:val=""/>
      <w:lvlJc w:val="left"/>
      <w:pPr>
        <w:ind w:left="4780" w:hanging="360"/>
      </w:pPr>
      <w:rPr>
        <w:rFonts w:ascii="Wingdings" w:hAnsi="Wingdings" w:hint="default"/>
      </w:rPr>
    </w:lvl>
    <w:lvl w:ilvl="6" w:tplc="20000001" w:tentative="1">
      <w:start w:val="1"/>
      <w:numFmt w:val="bullet"/>
      <w:lvlText w:val=""/>
      <w:lvlJc w:val="left"/>
      <w:pPr>
        <w:ind w:left="5500" w:hanging="360"/>
      </w:pPr>
      <w:rPr>
        <w:rFonts w:ascii="Symbol" w:hAnsi="Symbol" w:hint="default"/>
      </w:rPr>
    </w:lvl>
    <w:lvl w:ilvl="7" w:tplc="20000003" w:tentative="1">
      <w:start w:val="1"/>
      <w:numFmt w:val="bullet"/>
      <w:lvlText w:val="o"/>
      <w:lvlJc w:val="left"/>
      <w:pPr>
        <w:ind w:left="6220" w:hanging="360"/>
      </w:pPr>
      <w:rPr>
        <w:rFonts w:ascii="Courier New" w:hAnsi="Courier New" w:cs="Courier New" w:hint="default"/>
      </w:rPr>
    </w:lvl>
    <w:lvl w:ilvl="8" w:tplc="20000005" w:tentative="1">
      <w:start w:val="1"/>
      <w:numFmt w:val="bullet"/>
      <w:lvlText w:val=""/>
      <w:lvlJc w:val="left"/>
      <w:pPr>
        <w:ind w:left="6940" w:hanging="360"/>
      </w:pPr>
      <w:rPr>
        <w:rFonts w:ascii="Wingdings" w:hAnsi="Wingdings" w:hint="default"/>
      </w:rPr>
    </w:lvl>
  </w:abstractNum>
  <w:abstractNum w:abstractNumId="14" w15:restartNumberingAfterBreak="0">
    <w:nsid w:val="3216201C"/>
    <w:multiLevelType w:val="hybridMultilevel"/>
    <w:tmpl w:val="26E22336"/>
    <w:lvl w:ilvl="0" w:tplc="5CEE8718">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9084F"/>
    <w:multiLevelType w:val="hybridMultilevel"/>
    <w:tmpl w:val="1332E3A8"/>
    <w:lvl w:ilvl="0" w:tplc="08090005">
      <w:start w:val="1"/>
      <w:numFmt w:val="bullet"/>
      <w:lvlText w:val=""/>
      <w:lvlJc w:val="left"/>
      <w:pPr>
        <w:ind w:left="1560" w:hanging="360"/>
      </w:pPr>
      <w:rPr>
        <w:rFonts w:ascii="Wingdings" w:hAnsi="Wingding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AD6BB9"/>
    <w:multiLevelType w:val="multilevel"/>
    <w:tmpl w:val="DCBCA23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22" w15:restartNumberingAfterBreak="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7B0667"/>
    <w:multiLevelType w:val="hybridMultilevel"/>
    <w:tmpl w:val="E9D2D202"/>
    <w:lvl w:ilvl="0" w:tplc="7CC6174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345639"/>
    <w:multiLevelType w:val="hybridMultilevel"/>
    <w:tmpl w:val="0DEC6C7A"/>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BFD2485"/>
    <w:multiLevelType w:val="hybridMultilevel"/>
    <w:tmpl w:val="F2984934"/>
    <w:lvl w:ilvl="0" w:tplc="D79E78A0">
      <w:start w:val="1"/>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1" w15:restartNumberingAfterBreak="0">
    <w:nsid w:val="6C77636D"/>
    <w:multiLevelType w:val="hybridMultilevel"/>
    <w:tmpl w:val="33D276A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324E5B"/>
    <w:multiLevelType w:val="hybridMultilevel"/>
    <w:tmpl w:val="E7EE51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5" w15:restartNumberingAfterBreak="0">
    <w:nsid w:val="76CC4CD7"/>
    <w:multiLevelType w:val="hybridMultilevel"/>
    <w:tmpl w:val="C914A234"/>
    <w:lvl w:ilvl="0" w:tplc="7CC6174A">
      <w:start w:val="2"/>
      <w:numFmt w:val="bullet"/>
      <w:lvlText w:val="-"/>
      <w:lvlJc w:val="left"/>
      <w:pPr>
        <w:ind w:left="720" w:hanging="360"/>
      </w:pPr>
      <w:rPr>
        <w:rFonts w:ascii="Times New Roman" w:eastAsia="SimSun" w:hAnsi="Times New Roman" w:cs="Times New Roman"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E402773"/>
    <w:multiLevelType w:val="hybridMultilevel"/>
    <w:tmpl w:val="42E6EEC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9"/>
  </w:num>
  <w:num w:numId="2">
    <w:abstractNumId w:val="24"/>
  </w:num>
  <w:num w:numId="3">
    <w:abstractNumId w:val="19"/>
  </w:num>
  <w:num w:numId="4">
    <w:abstractNumId w:val="9"/>
  </w:num>
  <w:num w:numId="5">
    <w:abstractNumId w:val="17"/>
  </w:num>
  <w:num w:numId="6">
    <w:abstractNumId w:val="15"/>
  </w:num>
  <w:num w:numId="7">
    <w:abstractNumId w:val="34"/>
  </w:num>
  <w:num w:numId="8">
    <w:abstractNumId w:val="5"/>
  </w:num>
  <w:num w:numId="9">
    <w:abstractNumId w:val="1"/>
    <w:lvlOverride w:ilvl="1">
      <w:startOverride w:val="1"/>
    </w:lvlOverride>
  </w:num>
  <w:num w:numId="10">
    <w:abstractNumId w:val="20"/>
    <w:lvlOverride w:ilvl="1">
      <w:startOverride w:val="1"/>
    </w:lvlOverride>
  </w:num>
  <w:num w:numId="11">
    <w:abstractNumId w:val="6"/>
    <w:lvlOverride w:ilvl="1">
      <w:startOverride w:val="1"/>
    </w:lvlOverride>
  </w:num>
  <w:num w:numId="12">
    <w:abstractNumId w:val="4"/>
  </w:num>
  <w:num w:numId="13">
    <w:abstractNumId w:val="23"/>
  </w:num>
  <w:num w:numId="14">
    <w:abstractNumId w:val="35"/>
  </w:num>
  <w:num w:numId="15">
    <w:abstractNumId w:val="37"/>
  </w:num>
  <w:num w:numId="16">
    <w:abstractNumId w:val="7"/>
  </w:num>
  <w:num w:numId="17">
    <w:abstractNumId w:val="30"/>
  </w:num>
  <w:num w:numId="18">
    <w:abstractNumId w:val="11"/>
  </w:num>
  <w:num w:numId="19">
    <w:abstractNumId w:val="2"/>
  </w:num>
  <w:num w:numId="20">
    <w:abstractNumId w:val="0"/>
  </w:num>
  <w:num w:numId="21">
    <w:abstractNumId w:val="16"/>
  </w:num>
  <w:num w:numId="22">
    <w:abstractNumId w:val="21"/>
  </w:num>
  <w:num w:numId="23">
    <w:abstractNumId w:val="25"/>
  </w:num>
  <w:num w:numId="24">
    <w:abstractNumId w:val="12"/>
  </w:num>
  <w:num w:numId="25">
    <w:abstractNumId w:val="31"/>
  </w:num>
  <w:num w:numId="26">
    <w:abstractNumId w:val="13"/>
  </w:num>
  <w:num w:numId="27">
    <w:abstractNumId w:val="28"/>
  </w:num>
  <w:num w:numId="28">
    <w:abstractNumId w:val="8"/>
  </w:num>
  <w:num w:numId="29">
    <w:abstractNumId w:val="26"/>
  </w:num>
  <w:num w:numId="30">
    <w:abstractNumId w:val="22"/>
  </w:num>
  <w:num w:numId="31">
    <w:abstractNumId w:val="3"/>
  </w:num>
  <w:num w:numId="32">
    <w:abstractNumId w:val="33"/>
  </w:num>
  <w:num w:numId="33">
    <w:abstractNumId w:val="36"/>
  </w:num>
  <w:num w:numId="34">
    <w:abstractNumId w:val="14"/>
  </w:num>
  <w:num w:numId="35">
    <w:abstractNumId w:val="10"/>
  </w:num>
  <w:num w:numId="36">
    <w:abstractNumId w:val="27"/>
  </w:num>
  <w:num w:numId="37">
    <w:abstractNumId w:val="18"/>
  </w:num>
  <w:num w:numId="38">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9A7"/>
    <w:rsid w:val="00001227"/>
    <w:rsid w:val="0000127B"/>
    <w:rsid w:val="00003B96"/>
    <w:rsid w:val="00006B7E"/>
    <w:rsid w:val="00006E0B"/>
    <w:rsid w:val="00007B49"/>
    <w:rsid w:val="000112AD"/>
    <w:rsid w:val="00014F69"/>
    <w:rsid w:val="00015A0D"/>
    <w:rsid w:val="00016262"/>
    <w:rsid w:val="00016E48"/>
    <w:rsid w:val="0001770D"/>
    <w:rsid w:val="00017F23"/>
    <w:rsid w:val="000217E5"/>
    <w:rsid w:val="00025662"/>
    <w:rsid w:val="00026325"/>
    <w:rsid w:val="00027308"/>
    <w:rsid w:val="00027657"/>
    <w:rsid w:val="00031A7F"/>
    <w:rsid w:val="00033040"/>
    <w:rsid w:val="00033358"/>
    <w:rsid w:val="000432F0"/>
    <w:rsid w:val="00045CCD"/>
    <w:rsid w:val="00050860"/>
    <w:rsid w:val="0006087B"/>
    <w:rsid w:val="00061C75"/>
    <w:rsid w:val="00063A86"/>
    <w:rsid w:val="00070FF2"/>
    <w:rsid w:val="00072B36"/>
    <w:rsid w:val="0007365C"/>
    <w:rsid w:val="00073DC2"/>
    <w:rsid w:val="0007624A"/>
    <w:rsid w:val="00082D4C"/>
    <w:rsid w:val="00082F8A"/>
    <w:rsid w:val="00084C35"/>
    <w:rsid w:val="000913ED"/>
    <w:rsid w:val="000B2D6C"/>
    <w:rsid w:val="000B494A"/>
    <w:rsid w:val="000B64C1"/>
    <w:rsid w:val="000C2089"/>
    <w:rsid w:val="000D0276"/>
    <w:rsid w:val="000E359A"/>
    <w:rsid w:val="000E72A2"/>
    <w:rsid w:val="000E7531"/>
    <w:rsid w:val="000E7614"/>
    <w:rsid w:val="000F22C5"/>
    <w:rsid w:val="000F2397"/>
    <w:rsid w:val="000F3A5E"/>
    <w:rsid w:val="000F6242"/>
    <w:rsid w:val="00102AF5"/>
    <w:rsid w:val="00103E12"/>
    <w:rsid w:val="001052E1"/>
    <w:rsid w:val="001055C7"/>
    <w:rsid w:val="0010710F"/>
    <w:rsid w:val="00107807"/>
    <w:rsid w:val="00111BE5"/>
    <w:rsid w:val="00113807"/>
    <w:rsid w:val="00114D8F"/>
    <w:rsid w:val="00121118"/>
    <w:rsid w:val="001233B3"/>
    <w:rsid w:val="00124985"/>
    <w:rsid w:val="0013277F"/>
    <w:rsid w:val="00132E1B"/>
    <w:rsid w:val="00143C95"/>
    <w:rsid w:val="0014442F"/>
    <w:rsid w:val="00147D5B"/>
    <w:rsid w:val="0015026E"/>
    <w:rsid w:val="0015307D"/>
    <w:rsid w:val="00156248"/>
    <w:rsid w:val="001574F3"/>
    <w:rsid w:val="0016005C"/>
    <w:rsid w:val="00164D33"/>
    <w:rsid w:val="0017009B"/>
    <w:rsid w:val="00172372"/>
    <w:rsid w:val="00176377"/>
    <w:rsid w:val="00176AB8"/>
    <w:rsid w:val="00181FD6"/>
    <w:rsid w:val="001831E5"/>
    <w:rsid w:val="00183F66"/>
    <w:rsid w:val="00193603"/>
    <w:rsid w:val="00196889"/>
    <w:rsid w:val="00197171"/>
    <w:rsid w:val="00197B9C"/>
    <w:rsid w:val="001A17BD"/>
    <w:rsid w:val="001A211C"/>
    <w:rsid w:val="001A3068"/>
    <w:rsid w:val="001A7219"/>
    <w:rsid w:val="001A77BD"/>
    <w:rsid w:val="001B45E8"/>
    <w:rsid w:val="001B4A3B"/>
    <w:rsid w:val="001B5F3D"/>
    <w:rsid w:val="001B6C09"/>
    <w:rsid w:val="001B746A"/>
    <w:rsid w:val="001C3B76"/>
    <w:rsid w:val="001C582A"/>
    <w:rsid w:val="001C7C7B"/>
    <w:rsid w:val="001C7E46"/>
    <w:rsid w:val="001D38AE"/>
    <w:rsid w:val="001D4EF6"/>
    <w:rsid w:val="001D505D"/>
    <w:rsid w:val="001D6CB0"/>
    <w:rsid w:val="001E5FDB"/>
    <w:rsid w:val="001E658D"/>
    <w:rsid w:val="001E760E"/>
    <w:rsid w:val="001F146D"/>
    <w:rsid w:val="001F27AD"/>
    <w:rsid w:val="001F54CF"/>
    <w:rsid w:val="002023A7"/>
    <w:rsid w:val="00203849"/>
    <w:rsid w:val="00203916"/>
    <w:rsid w:val="00205421"/>
    <w:rsid w:val="002108A1"/>
    <w:rsid w:val="00211528"/>
    <w:rsid w:val="00222F26"/>
    <w:rsid w:val="0022417A"/>
    <w:rsid w:val="0022650C"/>
    <w:rsid w:val="002271D1"/>
    <w:rsid w:val="002308B2"/>
    <w:rsid w:val="00233AB5"/>
    <w:rsid w:val="00234F20"/>
    <w:rsid w:val="0023521F"/>
    <w:rsid w:val="00242CD1"/>
    <w:rsid w:val="00243E8E"/>
    <w:rsid w:val="00244618"/>
    <w:rsid w:val="00246DD9"/>
    <w:rsid w:val="00246E75"/>
    <w:rsid w:val="00247483"/>
    <w:rsid w:val="00250288"/>
    <w:rsid w:val="00250684"/>
    <w:rsid w:val="0025402C"/>
    <w:rsid w:val="00254E03"/>
    <w:rsid w:val="00255228"/>
    <w:rsid w:val="00256994"/>
    <w:rsid w:val="002576CA"/>
    <w:rsid w:val="00262AF2"/>
    <w:rsid w:val="00263AEB"/>
    <w:rsid w:val="0026630E"/>
    <w:rsid w:val="00274316"/>
    <w:rsid w:val="0027444B"/>
    <w:rsid w:val="00275F8C"/>
    <w:rsid w:val="00277364"/>
    <w:rsid w:val="00281D4B"/>
    <w:rsid w:val="00290C1A"/>
    <w:rsid w:val="0029163F"/>
    <w:rsid w:val="00291897"/>
    <w:rsid w:val="00291DE4"/>
    <w:rsid w:val="00295B43"/>
    <w:rsid w:val="0029733C"/>
    <w:rsid w:val="00297BF9"/>
    <w:rsid w:val="002A056F"/>
    <w:rsid w:val="002A1DCD"/>
    <w:rsid w:val="002A27A6"/>
    <w:rsid w:val="002A7063"/>
    <w:rsid w:val="002B32A3"/>
    <w:rsid w:val="002B65A1"/>
    <w:rsid w:val="002B69FE"/>
    <w:rsid w:val="002B6B1C"/>
    <w:rsid w:val="002B6BD9"/>
    <w:rsid w:val="002B7490"/>
    <w:rsid w:val="002C21F2"/>
    <w:rsid w:val="002C7554"/>
    <w:rsid w:val="002D1849"/>
    <w:rsid w:val="002D1BF7"/>
    <w:rsid w:val="002D3C6F"/>
    <w:rsid w:val="002D4959"/>
    <w:rsid w:val="002D4F0A"/>
    <w:rsid w:val="002D5AD4"/>
    <w:rsid w:val="002D62D8"/>
    <w:rsid w:val="002E0642"/>
    <w:rsid w:val="002E1D40"/>
    <w:rsid w:val="002E3683"/>
    <w:rsid w:val="002F1940"/>
    <w:rsid w:val="002F1EBC"/>
    <w:rsid w:val="002F296B"/>
    <w:rsid w:val="002F7816"/>
    <w:rsid w:val="00300620"/>
    <w:rsid w:val="003040EA"/>
    <w:rsid w:val="003043D1"/>
    <w:rsid w:val="0030578F"/>
    <w:rsid w:val="00307935"/>
    <w:rsid w:val="003114F9"/>
    <w:rsid w:val="0031171E"/>
    <w:rsid w:val="003125FC"/>
    <w:rsid w:val="003134D7"/>
    <w:rsid w:val="00323163"/>
    <w:rsid w:val="0032334C"/>
    <w:rsid w:val="0032780A"/>
    <w:rsid w:val="00327EE9"/>
    <w:rsid w:val="00330E8A"/>
    <w:rsid w:val="00331039"/>
    <w:rsid w:val="00333C55"/>
    <w:rsid w:val="00334887"/>
    <w:rsid w:val="003351D2"/>
    <w:rsid w:val="003441BF"/>
    <w:rsid w:val="003448BB"/>
    <w:rsid w:val="00344B8C"/>
    <w:rsid w:val="00350A96"/>
    <w:rsid w:val="003574D8"/>
    <w:rsid w:val="0036039E"/>
    <w:rsid w:val="0036488E"/>
    <w:rsid w:val="00365891"/>
    <w:rsid w:val="00383545"/>
    <w:rsid w:val="003866C3"/>
    <w:rsid w:val="0038691E"/>
    <w:rsid w:val="0038700F"/>
    <w:rsid w:val="00392F68"/>
    <w:rsid w:val="00395D05"/>
    <w:rsid w:val="003A1034"/>
    <w:rsid w:val="003A7C9B"/>
    <w:rsid w:val="003B1BDE"/>
    <w:rsid w:val="003B5AB6"/>
    <w:rsid w:val="003B71EF"/>
    <w:rsid w:val="003C6701"/>
    <w:rsid w:val="003D46BB"/>
    <w:rsid w:val="003E73EC"/>
    <w:rsid w:val="003E7A59"/>
    <w:rsid w:val="003F2078"/>
    <w:rsid w:val="003F207E"/>
    <w:rsid w:val="00403BB5"/>
    <w:rsid w:val="004074A8"/>
    <w:rsid w:val="00410EDA"/>
    <w:rsid w:val="00414BC7"/>
    <w:rsid w:val="004221E6"/>
    <w:rsid w:val="00430CB2"/>
    <w:rsid w:val="00432522"/>
    <w:rsid w:val="00433500"/>
    <w:rsid w:val="00433F71"/>
    <w:rsid w:val="00434685"/>
    <w:rsid w:val="00436B31"/>
    <w:rsid w:val="004406D6"/>
    <w:rsid w:val="00440D43"/>
    <w:rsid w:val="004410CF"/>
    <w:rsid w:val="00446C6A"/>
    <w:rsid w:val="00446F02"/>
    <w:rsid w:val="004511E8"/>
    <w:rsid w:val="00452783"/>
    <w:rsid w:val="00457E49"/>
    <w:rsid w:val="00460298"/>
    <w:rsid w:val="004634FF"/>
    <w:rsid w:val="00465007"/>
    <w:rsid w:val="00470141"/>
    <w:rsid w:val="00471EF9"/>
    <w:rsid w:val="00471F70"/>
    <w:rsid w:val="004736F9"/>
    <w:rsid w:val="00476C4E"/>
    <w:rsid w:val="004775D6"/>
    <w:rsid w:val="0048508D"/>
    <w:rsid w:val="00491B1D"/>
    <w:rsid w:val="00492E6E"/>
    <w:rsid w:val="004930FA"/>
    <w:rsid w:val="00496D2E"/>
    <w:rsid w:val="00496E73"/>
    <w:rsid w:val="00496EC8"/>
    <w:rsid w:val="004A07B8"/>
    <w:rsid w:val="004A1363"/>
    <w:rsid w:val="004A6FC3"/>
    <w:rsid w:val="004A7BC0"/>
    <w:rsid w:val="004B124F"/>
    <w:rsid w:val="004B2718"/>
    <w:rsid w:val="004B5598"/>
    <w:rsid w:val="004C0D3C"/>
    <w:rsid w:val="004C18A2"/>
    <w:rsid w:val="004C6AAD"/>
    <w:rsid w:val="004C7279"/>
    <w:rsid w:val="004D0F71"/>
    <w:rsid w:val="004D6669"/>
    <w:rsid w:val="004E3939"/>
    <w:rsid w:val="004F7705"/>
    <w:rsid w:val="00505241"/>
    <w:rsid w:val="005058A5"/>
    <w:rsid w:val="0050649B"/>
    <w:rsid w:val="00507DE1"/>
    <w:rsid w:val="0051394F"/>
    <w:rsid w:val="00515858"/>
    <w:rsid w:val="00520CFC"/>
    <w:rsid w:val="005218F3"/>
    <w:rsid w:val="00521AAB"/>
    <w:rsid w:val="00522ED2"/>
    <w:rsid w:val="00530D2C"/>
    <w:rsid w:val="00530E5F"/>
    <w:rsid w:val="00531F10"/>
    <w:rsid w:val="005321D0"/>
    <w:rsid w:val="00533F26"/>
    <w:rsid w:val="00534704"/>
    <w:rsid w:val="00535092"/>
    <w:rsid w:val="00535760"/>
    <w:rsid w:val="00537122"/>
    <w:rsid w:val="00544E74"/>
    <w:rsid w:val="00546685"/>
    <w:rsid w:val="00547162"/>
    <w:rsid w:val="00550790"/>
    <w:rsid w:val="005560B1"/>
    <w:rsid w:val="005578E3"/>
    <w:rsid w:val="00561594"/>
    <w:rsid w:val="00566533"/>
    <w:rsid w:val="00567C4D"/>
    <w:rsid w:val="00570235"/>
    <w:rsid w:val="00570812"/>
    <w:rsid w:val="00572873"/>
    <w:rsid w:val="0057339A"/>
    <w:rsid w:val="00573888"/>
    <w:rsid w:val="005749E1"/>
    <w:rsid w:val="005765FF"/>
    <w:rsid w:val="00576604"/>
    <w:rsid w:val="00577F36"/>
    <w:rsid w:val="005875E1"/>
    <w:rsid w:val="0059228D"/>
    <w:rsid w:val="0059302B"/>
    <w:rsid w:val="00596F14"/>
    <w:rsid w:val="005A4AFE"/>
    <w:rsid w:val="005B6D73"/>
    <w:rsid w:val="005C074C"/>
    <w:rsid w:val="005C0D49"/>
    <w:rsid w:val="005C176C"/>
    <w:rsid w:val="005C52A0"/>
    <w:rsid w:val="005C6E17"/>
    <w:rsid w:val="005D4CD7"/>
    <w:rsid w:val="005E321A"/>
    <w:rsid w:val="005F0E20"/>
    <w:rsid w:val="005F4AD1"/>
    <w:rsid w:val="005F7DE7"/>
    <w:rsid w:val="00600F29"/>
    <w:rsid w:val="00613365"/>
    <w:rsid w:val="006169A4"/>
    <w:rsid w:val="0062051C"/>
    <w:rsid w:val="00622C0F"/>
    <w:rsid w:val="00627955"/>
    <w:rsid w:val="00636DD1"/>
    <w:rsid w:val="00636DFD"/>
    <w:rsid w:val="00636E21"/>
    <w:rsid w:val="006424F7"/>
    <w:rsid w:val="006475FA"/>
    <w:rsid w:val="00647875"/>
    <w:rsid w:val="00654B1B"/>
    <w:rsid w:val="00656920"/>
    <w:rsid w:val="00656CB1"/>
    <w:rsid w:val="00667B3F"/>
    <w:rsid w:val="0067202F"/>
    <w:rsid w:val="00672F8C"/>
    <w:rsid w:val="006778AE"/>
    <w:rsid w:val="00681CAD"/>
    <w:rsid w:val="00682112"/>
    <w:rsid w:val="00682CE5"/>
    <w:rsid w:val="00683EFD"/>
    <w:rsid w:val="00685D0B"/>
    <w:rsid w:val="00691D98"/>
    <w:rsid w:val="006966BA"/>
    <w:rsid w:val="00697DFE"/>
    <w:rsid w:val="006A3398"/>
    <w:rsid w:val="006A44C3"/>
    <w:rsid w:val="006B0400"/>
    <w:rsid w:val="006B0443"/>
    <w:rsid w:val="006B37EA"/>
    <w:rsid w:val="006B5E09"/>
    <w:rsid w:val="006B645D"/>
    <w:rsid w:val="006C0FFF"/>
    <w:rsid w:val="006C1CCB"/>
    <w:rsid w:val="006C291D"/>
    <w:rsid w:val="006C6195"/>
    <w:rsid w:val="006C6DF8"/>
    <w:rsid w:val="006C740F"/>
    <w:rsid w:val="006D0327"/>
    <w:rsid w:val="006D2C48"/>
    <w:rsid w:val="006D6122"/>
    <w:rsid w:val="006D6D19"/>
    <w:rsid w:val="006E3FEC"/>
    <w:rsid w:val="006F0EFA"/>
    <w:rsid w:val="006F4DF2"/>
    <w:rsid w:val="006F52A3"/>
    <w:rsid w:val="006F72CF"/>
    <w:rsid w:val="006F7705"/>
    <w:rsid w:val="00706228"/>
    <w:rsid w:val="00706E2F"/>
    <w:rsid w:val="00711574"/>
    <w:rsid w:val="007157E9"/>
    <w:rsid w:val="00716A43"/>
    <w:rsid w:val="00720996"/>
    <w:rsid w:val="00722A12"/>
    <w:rsid w:val="007232AE"/>
    <w:rsid w:val="0072435B"/>
    <w:rsid w:val="00724C38"/>
    <w:rsid w:val="007274E0"/>
    <w:rsid w:val="00727C42"/>
    <w:rsid w:val="00740297"/>
    <w:rsid w:val="00742F7B"/>
    <w:rsid w:val="007453EC"/>
    <w:rsid w:val="00745E4A"/>
    <w:rsid w:val="00746494"/>
    <w:rsid w:val="0075011C"/>
    <w:rsid w:val="0075154C"/>
    <w:rsid w:val="00757C8F"/>
    <w:rsid w:val="00760EC1"/>
    <w:rsid w:val="007617F3"/>
    <w:rsid w:val="007628FC"/>
    <w:rsid w:val="007654EF"/>
    <w:rsid w:val="00765AB3"/>
    <w:rsid w:val="00765E5D"/>
    <w:rsid w:val="00771970"/>
    <w:rsid w:val="00771E88"/>
    <w:rsid w:val="00776F4D"/>
    <w:rsid w:val="00777645"/>
    <w:rsid w:val="007855D1"/>
    <w:rsid w:val="007855E8"/>
    <w:rsid w:val="007864BC"/>
    <w:rsid w:val="00795B30"/>
    <w:rsid w:val="007A73EF"/>
    <w:rsid w:val="007A7F3B"/>
    <w:rsid w:val="007B1CE5"/>
    <w:rsid w:val="007B30D8"/>
    <w:rsid w:val="007B37A2"/>
    <w:rsid w:val="007B4DDF"/>
    <w:rsid w:val="007B5627"/>
    <w:rsid w:val="007B67E8"/>
    <w:rsid w:val="007C1E44"/>
    <w:rsid w:val="007C3C73"/>
    <w:rsid w:val="007C599C"/>
    <w:rsid w:val="007D498A"/>
    <w:rsid w:val="007D52D8"/>
    <w:rsid w:val="007E6DB5"/>
    <w:rsid w:val="007F35BA"/>
    <w:rsid w:val="007F4F92"/>
    <w:rsid w:val="007F57E7"/>
    <w:rsid w:val="00800219"/>
    <w:rsid w:val="00801EE8"/>
    <w:rsid w:val="00805947"/>
    <w:rsid w:val="00807CB9"/>
    <w:rsid w:val="0081345F"/>
    <w:rsid w:val="0081469D"/>
    <w:rsid w:val="00816941"/>
    <w:rsid w:val="0082025D"/>
    <w:rsid w:val="00823A76"/>
    <w:rsid w:val="00825DA7"/>
    <w:rsid w:val="00827D93"/>
    <w:rsid w:val="0083740A"/>
    <w:rsid w:val="00841806"/>
    <w:rsid w:val="008545B4"/>
    <w:rsid w:val="00856277"/>
    <w:rsid w:val="00862BD3"/>
    <w:rsid w:val="00867D95"/>
    <w:rsid w:val="00872D21"/>
    <w:rsid w:val="00877DB5"/>
    <w:rsid w:val="0088139B"/>
    <w:rsid w:val="00884AB9"/>
    <w:rsid w:val="00887B7F"/>
    <w:rsid w:val="0089158F"/>
    <w:rsid w:val="00891D9F"/>
    <w:rsid w:val="00897FA9"/>
    <w:rsid w:val="008A0326"/>
    <w:rsid w:val="008A0B5B"/>
    <w:rsid w:val="008A3B73"/>
    <w:rsid w:val="008A3DD2"/>
    <w:rsid w:val="008A52BC"/>
    <w:rsid w:val="008A5BCC"/>
    <w:rsid w:val="008A6316"/>
    <w:rsid w:val="008B04F1"/>
    <w:rsid w:val="008B53D7"/>
    <w:rsid w:val="008B647C"/>
    <w:rsid w:val="008C0661"/>
    <w:rsid w:val="008C5F36"/>
    <w:rsid w:val="008D3A20"/>
    <w:rsid w:val="008D64E6"/>
    <w:rsid w:val="008D772F"/>
    <w:rsid w:val="008E2D8C"/>
    <w:rsid w:val="008E314C"/>
    <w:rsid w:val="008E60CC"/>
    <w:rsid w:val="008E6417"/>
    <w:rsid w:val="008E7FEA"/>
    <w:rsid w:val="008F31A1"/>
    <w:rsid w:val="00900349"/>
    <w:rsid w:val="00902713"/>
    <w:rsid w:val="00907D8F"/>
    <w:rsid w:val="00913032"/>
    <w:rsid w:val="009175AF"/>
    <w:rsid w:val="00921592"/>
    <w:rsid w:val="00923254"/>
    <w:rsid w:val="00924AD4"/>
    <w:rsid w:val="00935A4C"/>
    <w:rsid w:val="00946CEB"/>
    <w:rsid w:val="00952629"/>
    <w:rsid w:val="0095354F"/>
    <w:rsid w:val="00965B4E"/>
    <w:rsid w:val="009740CB"/>
    <w:rsid w:val="0097732B"/>
    <w:rsid w:val="009818C7"/>
    <w:rsid w:val="00987240"/>
    <w:rsid w:val="00987286"/>
    <w:rsid w:val="00990B2C"/>
    <w:rsid w:val="00990CD7"/>
    <w:rsid w:val="009942F8"/>
    <w:rsid w:val="009964AE"/>
    <w:rsid w:val="0099764C"/>
    <w:rsid w:val="009A108C"/>
    <w:rsid w:val="009A3BAD"/>
    <w:rsid w:val="009A48F8"/>
    <w:rsid w:val="009B13E2"/>
    <w:rsid w:val="009B1ADB"/>
    <w:rsid w:val="009B6D6B"/>
    <w:rsid w:val="009C020E"/>
    <w:rsid w:val="009C1039"/>
    <w:rsid w:val="009C1A20"/>
    <w:rsid w:val="009C1DCD"/>
    <w:rsid w:val="009C25C5"/>
    <w:rsid w:val="009C45DF"/>
    <w:rsid w:val="009C718D"/>
    <w:rsid w:val="009D148A"/>
    <w:rsid w:val="009D189D"/>
    <w:rsid w:val="009D21B0"/>
    <w:rsid w:val="009D340B"/>
    <w:rsid w:val="009D4048"/>
    <w:rsid w:val="009D61DD"/>
    <w:rsid w:val="009E2866"/>
    <w:rsid w:val="009E3707"/>
    <w:rsid w:val="009E69DB"/>
    <w:rsid w:val="009F579A"/>
    <w:rsid w:val="009F7803"/>
    <w:rsid w:val="009F7A3F"/>
    <w:rsid w:val="00A01D86"/>
    <w:rsid w:val="00A01E4E"/>
    <w:rsid w:val="00A02C38"/>
    <w:rsid w:val="00A02F20"/>
    <w:rsid w:val="00A03FC3"/>
    <w:rsid w:val="00A04FA7"/>
    <w:rsid w:val="00A059BF"/>
    <w:rsid w:val="00A10845"/>
    <w:rsid w:val="00A11A97"/>
    <w:rsid w:val="00A153AE"/>
    <w:rsid w:val="00A1590A"/>
    <w:rsid w:val="00A162E6"/>
    <w:rsid w:val="00A17B44"/>
    <w:rsid w:val="00A2336E"/>
    <w:rsid w:val="00A2347C"/>
    <w:rsid w:val="00A279AB"/>
    <w:rsid w:val="00A36A43"/>
    <w:rsid w:val="00A46184"/>
    <w:rsid w:val="00A50A28"/>
    <w:rsid w:val="00A5166E"/>
    <w:rsid w:val="00A61407"/>
    <w:rsid w:val="00A64071"/>
    <w:rsid w:val="00A657C5"/>
    <w:rsid w:val="00A67327"/>
    <w:rsid w:val="00A75A3E"/>
    <w:rsid w:val="00A76315"/>
    <w:rsid w:val="00A7666D"/>
    <w:rsid w:val="00A77569"/>
    <w:rsid w:val="00A77937"/>
    <w:rsid w:val="00A83A14"/>
    <w:rsid w:val="00A91555"/>
    <w:rsid w:val="00A920DF"/>
    <w:rsid w:val="00A92E3D"/>
    <w:rsid w:val="00A95189"/>
    <w:rsid w:val="00A97140"/>
    <w:rsid w:val="00AA2C36"/>
    <w:rsid w:val="00AA3026"/>
    <w:rsid w:val="00AA5235"/>
    <w:rsid w:val="00AB4860"/>
    <w:rsid w:val="00AB6C27"/>
    <w:rsid w:val="00AC1433"/>
    <w:rsid w:val="00AC1AF8"/>
    <w:rsid w:val="00AC4891"/>
    <w:rsid w:val="00AC6EE3"/>
    <w:rsid w:val="00AC75E8"/>
    <w:rsid w:val="00AD004D"/>
    <w:rsid w:val="00AD0E4E"/>
    <w:rsid w:val="00AD308D"/>
    <w:rsid w:val="00AE5960"/>
    <w:rsid w:val="00AE66EA"/>
    <w:rsid w:val="00AF2203"/>
    <w:rsid w:val="00AF29EE"/>
    <w:rsid w:val="00B03CC1"/>
    <w:rsid w:val="00B056C5"/>
    <w:rsid w:val="00B060E7"/>
    <w:rsid w:val="00B1341A"/>
    <w:rsid w:val="00B1624C"/>
    <w:rsid w:val="00B17214"/>
    <w:rsid w:val="00B218F9"/>
    <w:rsid w:val="00B32DA0"/>
    <w:rsid w:val="00B34F83"/>
    <w:rsid w:val="00B35724"/>
    <w:rsid w:val="00B35CF8"/>
    <w:rsid w:val="00B46FEA"/>
    <w:rsid w:val="00B4707F"/>
    <w:rsid w:val="00B50A67"/>
    <w:rsid w:val="00B525A6"/>
    <w:rsid w:val="00B56D79"/>
    <w:rsid w:val="00B63D84"/>
    <w:rsid w:val="00B64F1D"/>
    <w:rsid w:val="00B67368"/>
    <w:rsid w:val="00B6780A"/>
    <w:rsid w:val="00B707EE"/>
    <w:rsid w:val="00B71162"/>
    <w:rsid w:val="00B736FC"/>
    <w:rsid w:val="00B8052F"/>
    <w:rsid w:val="00B8223E"/>
    <w:rsid w:val="00B825CA"/>
    <w:rsid w:val="00B86DF0"/>
    <w:rsid w:val="00B91DDB"/>
    <w:rsid w:val="00B930C3"/>
    <w:rsid w:val="00B93CB2"/>
    <w:rsid w:val="00B9465E"/>
    <w:rsid w:val="00B94F8E"/>
    <w:rsid w:val="00B9664F"/>
    <w:rsid w:val="00B97703"/>
    <w:rsid w:val="00B97EB3"/>
    <w:rsid w:val="00BA2CD6"/>
    <w:rsid w:val="00BB3F9D"/>
    <w:rsid w:val="00BB42E3"/>
    <w:rsid w:val="00BC035D"/>
    <w:rsid w:val="00BC58DD"/>
    <w:rsid w:val="00BC5E3E"/>
    <w:rsid w:val="00BD1AC6"/>
    <w:rsid w:val="00BE0026"/>
    <w:rsid w:val="00BE2D55"/>
    <w:rsid w:val="00BE5891"/>
    <w:rsid w:val="00BF1253"/>
    <w:rsid w:val="00BF6531"/>
    <w:rsid w:val="00C017E8"/>
    <w:rsid w:val="00C0407E"/>
    <w:rsid w:val="00C044E3"/>
    <w:rsid w:val="00C1088D"/>
    <w:rsid w:val="00C131C2"/>
    <w:rsid w:val="00C17F1A"/>
    <w:rsid w:val="00C202E6"/>
    <w:rsid w:val="00C209D5"/>
    <w:rsid w:val="00C23954"/>
    <w:rsid w:val="00C32006"/>
    <w:rsid w:val="00C3426E"/>
    <w:rsid w:val="00C347EF"/>
    <w:rsid w:val="00C36C9C"/>
    <w:rsid w:val="00C4337B"/>
    <w:rsid w:val="00C43711"/>
    <w:rsid w:val="00C47AF8"/>
    <w:rsid w:val="00C51547"/>
    <w:rsid w:val="00C52C42"/>
    <w:rsid w:val="00C532F1"/>
    <w:rsid w:val="00C547BF"/>
    <w:rsid w:val="00C64CED"/>
    <w:rsid w:val="00C65BB6"/>
    <w:rsid w:val="00C70614"/>
    <w:rsid w:val="00C71F13"/>
    <w:rsid w:val="00C72469"/>
    <w:rsid w:val="00C751B4"/>
    <w:rsid w:val="00C75C7A"/>
    <w:rsid w:val="00C8025E"/>
    <w:rsid w:val="00C8165C"/>
    <w:rsid w:val="00C8240A"/>
    <w:rsid w:val="00C82F31"/>
    <w:rsid w:val="00C8472D"/>
    <w:rsid w:val="00C9171A"/>
    <w:rsid w:val="00C926C8"/>
    <w:rsid w:val="00C9374C"/>
    <w:rsid w:val="00C96D37"/>
    <w:rsid w:val="00CA0C2B"/>
    <w:rsid w:val="00CA6AD3"/>
    <w:rsid w:val="00CB1734"/>
    <w:rsid w:val="00CB2661"/>
    <w:rsid w:val="00CC0452"/>
    <w:rsid w:val="00CC2494"/>
    <w:rsid w:val="00CC39D2"/>
    <w:rsid w:val="00CC7163"/>
    <w:rsid w:val="00CC7CE5"/>
    <w:rsid w:val="00CE025F"/>
    <w:rsid w:val="00CE3866"/>
    <w:rsid w:val="00CE593F"/>
    <w:rsid w:val="00CF3D12"/>
    <w:rsid w:val="00CF6087"/>
    <w:rsid w:val="00CF71DC"/>
    <w:rsid w:val="00D0173F"/>
    <w:rsid w:val="00D07094"/>
    <w:rsid w:val="00D07593"/>
    <w:rsid w:val="00D07AD0"/>
    <w:rsid w:val="00D1134B"/>
    <w:rsid w:val="00D17C37"/>
    <w:rsid w:val="00D21701"/>
    <w:rsid w:val="00D224CC"/>
    <w:rsid w:val="00D267AF"/>
    <w:rsid w:val="00D30BE6"/>
    <w:rsid w:val="00D43CBF"/>
    <w:rsid w:val="00D447BA"/>
    <w:rsid w:val="00D44FF6"/>
    <w:rsid w:val="00D476DE"/>
    <w:rsid w:val="00D50679"/>
    <w:rsid w:val="00D534DF"/>
    <w:rsid w:val="00D57AD2"/>
    <w:rsid w:val="00D60833"/>
    <w:rsid w:val="00D61F04"/>
    <w:rsid w:val="00D6517E"/>
    <w:rsid w:val="00D713BF"/>
    <w:rsid w:val="00D71883"/>
    <w:rsid w:val="00D72231"/>
    <w:rsid w:val="00D727F0"/>
    <w:rsid w:val="00D766F0"/>
    <w:rsid w:val="00D82862"/>
    <w:rsid w:val="00D90981"/>
    <w:rsid w:val="00D91BF4"/>
    <w:rsid w:val="00D93385"/>
    <w:rsid w:val="00D9491F"/>
    <w:rsid w:val="00D94C65"/>
    <w:rsid w:val="00D95F21"/>
    <w:rsid w:val="00D96699"/>
    <w:rsid w:val="00D96A22"/>
    <w:rsid w:val="00DA2008"/>
    <w:rsid w:val="00DA3D6C"/>
    <w:rsid w:val="00DA41C9"/>
    <w:rsid w:val="00DB0872"/>
    <w:rsid w:val="00DB13B0"/>
    <w:rsid w:val="00DB62F7"/>
    <w:rsid w:val="00DC05CE"/>
    <w:rsid w:val="00DC0FE1"/>
    <w:rsid w:val="00DC10C3"/>
    <w:rsid w:val="00DC36E3"/>
    <w:rsid w:val="00DC37E4"/>
    <w:rsid w:val="00DC5B28"/>
    <w:rsid w:val="00DC7852"/>
    <w:rsid w:val="00DD18FE"/>
    <w:rsid w:val="00DD482F"/>
    <w:rsid w:val="00DD4872"/>
    <w:rsid w:val="00DE14B9"/>
    <w:rsid w:val="00DE729D"/>
    <w:rsid w:val="00DF34D4"/>
    <w:rsid w:val="00DF3F8A"/>
    <w:rsid w:val="00DF6AC6"/>
    <w:rsid w:val="00E02212"/>
    <w:rsid w:val="00E0222B"/>
    <w:rsid w:val="00E04C51"/>
    <w:rsid w:val="00E21A77"/>
    <w:rsid w:val="00E24673"/>
    <w:rsid w:val="00E25FF6"/>
    <w:rsid w:val="00E30A22"/>
    <w:rsid w:val="00E379E9"/>
    <w:rsid w:val="00E40B34"/>
    <w:rsid w:val="00E43BEB"/>
    <w:rsid w:val="00E45653"/>
    <w:rsid w:val="00E45DC6"/>
    <w:rsid w:val="00E51624"/>
    <w:rsid w:val="00E5414C"/>
    <w:rsid w:val="00E56481"/>
    <w:rsid w:val="00E6538C"/>
    <w:rsid w:val="00E713C0"/>
    <w:rsid w:val="00E74684"/>
    <w:rsid w:val="00E7505C"/>
    <w:rsid w:val="00E75127"/>
    <w:rsid w:val="00E77B24"/>
    <w:rsid w:val="00E80257"/>
    <w:rsid w:val="00E80CC1"/>
    <w:rsid w:val="00E83396"/>
    <w:rsid w:val="00E84EBB"/>
    <w:rsid w:val="00E908CA"/>
    <w:rsid w:val="00E911D5"/>
    <w:rsid w:val="00E91AD9"/>
    <w:rsid w:val="00E9790A"/>
    <w:rsid w:val="00EA0CD4"/>
    <w:rsid w:val="00EA341D"/>
    <w:rsid w:val="00EA64F2"/>
    <w:rsid w:val="00EB0F80"/>
    <w:rsid w:val="00EB22CF"/>
    <w:rsid w:val="00EB3524"/>
    <w:rsid w:val="00EC0A21"/>
    <w:rsid w:val="00EC1464"/>
    <w:rsid w:val="00EC1685"/>
    <w:rsid w:val="00EC307E"/>
    <w:rsid w:val="00EC513E"/>
    <w:rsid w:val="00EC7123"/>
    <w:rsid w:val="00ED5D00"/>
    <w:rsid w:val="00EE3865"/>
    <w:rsid w:val="00EE4542"/>
    <w:rsid w:val="00EE7683"/>
    <w:rsid w:val="00EF002D"/>
    <w:rsid w:val="00EF004E"/>
    <w:rsid w:val="00EF07CC"/>
    <w:rsid w:val="00EF0928"/>
    <w:rsid w:val="00F03F84"/>
    <w:rsid w:val="00F04556"/>
    <w:rsid w:val="00F07EC3"/>
    <w:rsid w:val="00F11C58"/>
    <w:rsid w:val="00F142F5"/>
    <w:rsid w:val="00F14F57"/>
    <w:rsid w:val="00F16773"/>
    <w:rsid w:val="00F258FB"/>
    <w:rsid w:val="00F32888"/>
    <w:rsid w:val="00F36B55"/>
    <w:rsid w:val="00F44611"/>
    <w:rsid w:val="00F4467D"/>
    <w:rsid w:val="00F44AB9"/>
    <w:rsid w:val="00F44F49"/>
    <w:rsid w:val="00F5136A"/>
    <w:rsid w:val="00F53769"/>
    <w:rsid w:val="00F5386B"/>
    <w:rsid w:val="00F56D0E"/>
    <w:rsid w:val="00F57E2F"/>
    <w:rsid w:val="00F61CA8"/>
    <w:rsid w:val="00F72A5A"/>
    <w:rsid w:val="00F733BC"/>
    <w:rsid w:val="00F76026"/>
    <w:rsid w:val="00F764AC"/>
    <w:rsid w:val="00F80CFC"/>
    <w:rsid w:val="00F837AA"/>
    <w:rsid w:val="00F85A6D"/>
    <w:rsid w:val="00F91D5D"/>
    <w:rsid w:val="00F94080"/>
    <w:rsid w:val="00FA11E1"/>
    <w:rsid w:val="00FA26AB"/>
    <w:rsid w:val="00FA6FD1"/>
    <w:rsid w:val="00FB3036"/>
    <w:rsid w:val="00FB5190"/>
    <w:rsid w:val="00FB5B0A"/>
    <w:rsid w:val="00FB7432"/>
    <w:rsid w:val="00FC064A"/>
    <w:rsid w:val="00FC076F"/>
    <w:rsid w:val="00FC2568"/>
    <w:rsid w:val="00FC569F"/>
    <w:rsid w:val="00FC75AA"/>
    <w:rsid w:val="00FD3A07"/>
    <w:rsid w:val="00FD7255"/>
    <w:rsid w:val="00FE08B4"/>
    <w:rsid w:val="00FE7D89"/>
    <w:rsid w:val="00FF34B8"/>
    <w:rsid w:val="00FF6149"/>
    <w:rsid w:val="00FF71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210A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935"/>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39"/>
    <w:qFormat/>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033358"/>
    <w:rPr>
      <w:b/>
      <w:bCs/>
    </w:rPr>
  </w:style>
  <w:style w:type="character" w:customStyle="1" w:styleId="Heading4Char">
    <w:name w:val="Heading 4 Char"/>
    <w:aliases w:val="h4 Char"/>
    <w:link w:val="Heading4"/>
    <w:rsid w:val="00C8025E"/>
    <w:rPr>
      <w:rFonts w:ascii="Arial" w:hAnsi="Arial"/>
      <w:sz w:val="24"/>
      <w:lang w:eastAsia="en-GB"/>
    </w:rPr>
  </w:style>
  <w:style w:type="character" w:customStyle="1" w:styleId="Heading3Char">
    <w:name w:val="Heading 3 Char"/>
    <w:aliases w:val="H3 Char,h3 Char"/>
    <w:link w:val="Heading3"/>
    <w:rsid w:val="00654B1B"/>
    <w:rPr>
      <w:rFonts w:ascii="Arial" w:hAnsi="Arial"/>
      <w:sz w:val="28"/>
      <w:lang w:eastAsia="en-GB"/>
    </w:rPr>
  </w:style>
  <w:style w:type="table" w:styleId="GridTable4-Accent1">
    <w:name w:val="Grid Table 4 Accent 1"/>
    <w:basedOn w:val="TableNormal"/>
    <w:uiPriority w:val="49"/>
    <w:rsid w:val="00C4337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2A706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059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5578E3"/>
    <w:pPr>
      <w:overflowPunct/>
      <w:autoSpaceDE/>
      <w:autoSpaceDN/>
      <w:adjustRightInd/>
      <w:spacing w:before="100" w:beforeAutospacing="1" w:after="100" w:afterAutospacing="1"/>
      <w:textAlignment w:val="auto"/>
    </w:pPr>
    <w:rPr>
      <w:rFonts w:eastAsiaTheme="minorEastAsia"/>
      <w:sz w:val="24"/>
      <w:szCs w:val="24"/>
      <w:lang w:eastAsia="zh-CN"/>
    </w:rPr>
  </w:style>
  <w:style w:type="table" w:styleId="GridTable6Colorful">
    <w:name w:val="Grid Table 6 Colorful"/>
    <w:basedOn w:val="TableNormal"/>
    <w:uiPriority w:val="51"/>
    <w:rsid w:val="002038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807CB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492E6E"/>
    <w:rPr>
      <w:rFonts w:ascii="TimesNewRomanPS-ItalicMT" w:hAnsi="TimesNewRomanPS-ItalicMT" w:hint="default"/>
      <w:b w:val="0"/>
      <w:bCs w:val="0"/>
      <w:i/>
      <w:iCs/>
      <w:color w:val="000000"/>
      <w:sz w:val="20"/>
      <w:szCs w:val="20"/>
    </w:rPr>
  </w:style>
  <w:style w:type="character" w:customStyle="1" w:styleId="Heading2Char">
    <w:name w:val="Heading 2 Char"/>
    <w:aliases w:val="H2 Char,h2 Char"/>
    <w:basedOn w:val="DefaultParagraphFont"/>
    <w:link w:val="Heading2"/>
    <w:rsid w:val="00E21A77"/>
    <w:rPr>
      <w:rFonts w:ascii="Arial" w:hAnsi="Arial"/>
      <w:sz w:val="32"/>
      <w:lang w:eastAsia="en-GB"/>
    </w:rPr>
  </w:style>
  <w:style w:type="character" w:customStyle="1" w:styleId="EQChar">
    <w:name w:val="EQ Char"/>
    <w:link w:val="EQ"/>
    <w:qFormat/>
    <w:rsid w:val="00DC05CE"/>
    <w:rPr>
      <w:noProof/>
      <w:lang w:eastAsia="en-GB"/>
    </w:rPr>
  </w:style>
  <w:style w:type="paragraph" w:customStyle="1" w:styleId="CRCoverPage">
    <w:name w:val="CR Cover Page"/>
    <w:link w:val="CRCoverPageChar"/>
    <w:qFormat/>
    <w:rsid w:val="00B525A6"/>
    <w:pPr>
      <w:spacing w:after="120"/>
    </w:pPr>
    <w:rPr>
      <w:rFonts w:ascii="Arial" w:eastAsia="Times New Roman" w:hAnsi="Arial"/>
      <w:lang w:eastAsia="en-US"/>
    </w:rPr>
  </w:style>
  <w:style w:type="character" w:customStyle="1" w:styleId="CRCoverPageChar">
    <w:name w:val="CR Cover Page Char"/>
    <w:link w:val="CRCoverPage"/>
    <w:qFormat/>
    <w:rsid w:val="00B525A6"/>
    <w:rPr>
      <w:rFonts w:ascii="Arial" w:eastAsia="Times New Roman" w:hAnsi="Arial"/>
      <w:lang w:eastAsia="en-US"/>
    </w:rPr>
  </w:style>
  <w:style w:type="character" w:customStyle="1" w:styleId="BodyTextChar">
    <w:name w:val="Body Text Char"/>
    <w:basedOn w:val="DefaultParagraphFont"/>
    <w:link w:val="BodyText"/>
    <w:semiHidden/>
    <w:rsid w:val="00B525A6"/>
    <w:rPr>
      <w:rFonts w:ascii="Arial" w:hAnsi="Arial" w:cs="Arial"/>
      <w:color w:val="FF0000"/>
      <w:lang w:eastAsia="en-GB"/>
    </w:rPr>
  </w:style>
  <w:style w:type="character" w:customStyle="1" w:styleId="B1Char">
    <w:name w:val="B1 Char"/>
    <w:link w:val="B1"/>
    <w:qFormat/>
    <w:locked/>
    <w:rsid w:val="008A3DD2"/>
    <w:rPr>
      <w:lang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27444B"/>
    <w:rPr>
      <w:b/>
      <w:bCs/>
      <w:lang w:eastAsia="en-GB"/>
    </w:rPr>
  </w:style>
  <w:style w:type="character" w:customStyle="1" w:styleId="B2Char">
    <w:name w:val="B2 Char"/>
    <w:link w:val="B2"/>
    <w:qFormat/>
    <w:rsid w:val="005E321A"/>
    <w:rPr>
      <w:lang w:eastAsia="en-GB"/>
    </w:rPr>
  </w:style>
  <w:style w:type="table" w:customStyle="1" w:styleId="1">
    <w:name w:val="网格型1"/>
    <w:basedOn w:val="TableNormal"/>
    <w:next w:val="TableGrid"/>
    <w:uiPriority w:val="39"/>
    <w:qFormat/>
    <w:rsid w:val="005E321A"/>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470">
      <w:bodyDiv w:val="1"/>
      <w:marLeft w:val="0"/>
      <w:marRight w:val="0"/>
      <w:marTop w:val="0"/>
      <w:marBottom w:val="0"/>
      <w:divBdr>
        <w:top w:val="none" w:sz="0" w:space="0" w:color="auto"/>
        <w:left w:val="none" w:sz="0" w:space="0" w:color="auto"/>
        <w:bottom w:val="none" w:sz="0" w:space="0" w:color="auto"/>
        <w:right w:val="none" w:sz="0" w:space="0" w:color="auto"/>
      </w:divBdr>
    </w:div>
    <w:div w:id="116031115">
      <w:bodyDiv w:val="1"/>
      <w:marLeft w:val="0"/>
      <w:marRight w:val="0"/>
      <w:marTop w:val="0"/>
      <w:marBottom w:val="0"/>
      <w:divBdr>
        <w:top w:val="none" w:sz="0" w:space="0" w:color="auto"/>
        <w:left w:val="none" w:sz="0" w:space="0" w:color="auto"/>
        <w:bottom w:val="none" w:sz="0" w:space="0" w:color="auto"/>
        <w:right w:val="none" w:sz="0" w:space="0" w:color="auto"/>
      </w:divBdr>
    </w:div>
    <w:div w:id="230044220">
      <w:bodyDiv w:val="1"/>
      <w:marLeft w:val="0"/>
      <w:marRight w:val="0"/>
      <w:marTop w:val="0"/>
      <w:marBottom w:val="0"/>
      <w:divBdr>
        <w:top w:val="none" w:sz="0" w:space="0" w:color="auto"/>
        <w:left w:val="none" w:sz="0" w:space="0" w:color="auto"/>
        <w:bottom w:val="none" w:sz="0" w:space="0" w:color="auto"/>
        <w:right w:val="none" w:sz="0" w:space="0" w:color="auto"/>
      </w:divBdr>
      <w:divsChild>
        <w:div w:id="1010837247">
          <w:marLeft w:val="0"/>
          <w:marRight w:val="0"/>
          <w:marTop w:val="0"/>
          <w:marBottom w:val="0"/>
          <w:divBdr>
            <w:top w:val="none" w:sz="0" w:space="0" w:color="auto"/>
            <w:left w:val="none" w:sz="0" w:space="0" w:color="auto"/>
            <w:bottom w:val="none" w:sz="0" w:space="0" w:color="auto"/>
            <w:right w:val="none" w:sz="0" w:space="0" w:color="auto"/>
          </w:divBdr>
        </w:div>
      </w:divsChild>
    </w:div>
    <w:div w:id="490296694">
      <w:bodyDiv w:val="1"/>
      <w:marLeft w:val="0"/>
      <w:marRight w:val="0"/>
      <w:marTop w:val="0"/>
      <w:marBottom w:val="0"/>
      <w:divBdr>
        <w:top w:val="none" w:sz="0" w:space="0" w:color="auto"/>
        <w:left w:val="none" w:sz="0" w:space="0" w:color="auto"/>
        <w:bottom w:val="none" w:sz="0" w:space="0" w:color="auto"/>
        <w:right w:val="none" w:sz="0" w:space="0" w:color="auto"/>
      </w:divBdr>
      <w:divsChild>
        <w:div w:id="231670661">
          <w:marLeft w:val="0"/>
          <w:marRight w:val="0"/>
          <w:marTop w:val="0"/>
          <w:marBottom w:val="0"/>
          <w:divBdr>
            <w:top w:val="none" w:sz="0" w:space="0" w:color="auto"/>
            <w:left w:val="none" w:sz="0" w:space="0" w:color="auto"/>
            <w:bottom w:val="none" w:sz="0" w:space="0" w:color="auto"/>
            <w:right w:val="none" w:sz="0" w:space="0" w:color="auto"/>
          </w:divBdr>
          <w:divsChild>
            <w:div w:id="28530037">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330827">
      <w:bodyDiv w:val="1"/>
      <w:marLeft w:val="0"/>
      <w:marRight w:val="0"/>
      <w:marTop w:val="0"/>
      <w:marBottom w:val="0"/>
      <w:divBdr>
        <w:top w:val="none" w:sz="0" w:space="0" w:color="auto"/>
        <w:left w:val="none" w:sz="0" w:space="0" w:color="auto"/>
        <w:bottom w:val="none" w:sz="0" w:space="0" w:color="auto"/>
        <w:right w:val="none" w:sz="0" w:space="0" w:color="auto"/>
      </w:divBdr>
    </w:div>
    <w:div w:id="1361466962">
      <w:bodyDiv w:val="1"/>
      <w:marLeft w:val="0"/>
      <w:marRight w:val="0"/>
      <w:marTop w:val="0"/>
      <w:marBottom w:val="0"/>
      <w:divBdr>
        <w:top w:val="none" w:sz="0" w:space="0" w:color="auto"/>
        <w:left w:val="none" w:sz="0" w:space="0" w:color="auto"/>
        <w:bottom w:val="none" w:sz="0" w:space="0" w:color="auto"/>
        <w:right w:val="none" w:sz="0" w:space="0" w:color="auto"/>
      </w:divBdr>
      <w:divsChild>
        <w:div w:id="1164977964">
          <w:marLeft w:val="0"/>
          <w:marRight w:val="0"/>
          <w:marTop w:val="0"/>
          <w:marBottom w:val="0"/>
          <w:divBdr>
            <w:top w:val="none" w:sz="0" w:space="0" w:color="auto"/>
            <w:left w:val="none" w:sz="0" w:space="0" w:color="auto"/>
            <w:bottom w:val="none" w:sz="0" w:space="0" w:color="auto"/>
            <w:right w:val="none" w:sz="0" w:space="0" w:color="auto"/>
          </w:divBdr>
        </w:div>
      </w:divsChild>
    </w:div>
    <w:div w:id="1706055226">
      <w:bodyDiv w:val="1"/>
      <w:marLeft w:val="0"/>
      <w:marRight w:val="0"/>
      <w:marTop w:val="0"/>
      <w:marBottom w:val="0"/>
      <w:divBdr>
        <w:top w:val="none" w:sz="0" w:space="0" w:color="auto"/>
        <w:left w:val="none" w:sz="0" w:space="0" w:color="auto"/>
        <w:bottom w:val="none" w:sz="0" w:space="0" w:color="auto"/>
        <w:right w:val="none" w:sz="0" w:space="0" w:color="auto"/>
      </w:divBdr>
    </w:div>
    <w:div w:id="1904870167">
      <w:bodyDiv w:val="1"/>
      <w:marLeft w:val="0"/>
      <w:marRight w:val="0"/>
      <w:marTop w:val="0"/>
      <w:marBottom w:val="0"/>
      <w:divBdr>
        <w:top w:val="none" w:sz="0" w:space="0" w:color="auto"/>
        <w:left w:val="none" w:sz="0" w:space="0" w:color="auto"/>
        <w:bottom w:val="none" w:sz="0" w:space="0" w:color="auto"/>
        <w:right w:val="none" w:sz="0" w:space="0" w:color="auto"/>
      </w:divBdr>
      <w:divsChild>
        <w:div w:id="2068146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FB448-1690-4DD1-B39F-33A2470E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6</Pages>
  <Words>2600</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43</cp:revision>
  <cp:lastPrinted>2002-04-23T07:10:00Z</cp:lastPrinted>
  <dcterms:created xsi:type="dcterms:W3CDTF">2024-05-13T10:30:00Z</dcterms:created>
  <dcterms:modified xsi:type="dcterms:W3CDTF">2024-10-07T13:45:00Z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1727715453</vt:lpwstr>
  </property>
</Properties>
</file>